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DDCA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318E70" w14:textId="77777777" w:rsidR="003F7257" w:rsidRPr="00191C77" w:rsidRDefault="003F7257" w:rsidP="003F7257">
      <w:pPr>
        <w:spacing w:before="120" w:after="280" w:afterAutospacing="1"/>
        <w:jc w:val="right"/>
        <w:rPr>
          <w:rFonts w:ascii="Times New Roman" w:hAnsi="Times New Roman" w:cs="Times New Roman"/>
          <w:sz w:val="24"/>
          <w:szCs w:val="24"/>
        </w:rPr>
      </w:pPr>
      <w:bookmarkStart w:id="1" w:name="chuong_pl_3"/>
      <w:r w:rsidRPr="00191C77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số 03</w:t>
      </w:r>
      <w:bookmarkEnd w:id="1"/>
    </w:p>
    <w:p w14:paraId="13322280" w14:textId="77777777" w:rsidR="003F7257" w:rsidRPr="00191C77" w:rsidRDefault="003F7257" w:rsidP="003F7257">
      <w:pPr>
        <w:spacing w:before="120"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chuong_pl_3_name"/>
      <w:r w:rsidRPr="00191C77">
        <w:rPr>
          <w:rFonts w:ascii="Times New Roman" w:hAnsi="Times New Roman" w:cs="Times New Roman"/>
          <w:b/>
          <w:bCs/>
          <w:sz w:val="24"/>
          <w:szCs w:val="24"/>
          <w:lang w:val="vi-VN"/>
        </w:rPr>
        <w:t>TÓM TẮT LÝ LỊCH KHOA HỌC ỨNG VIÊN THAM GIA HỘI ĐỒNG GIÁO SƯ</w:t>
      </w:r>
      <w:bookmarkEnd w:id="2"/>
    </w:p>
    <w:p w14:paraId="05624ABE" w14:textId="60F5776D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1. Họ và tên:</w:t>
      </w:r>
      <w:r w:rsidR="00472191" w:rsidRPr="00191C77">
        <w:rPr>
          <w:rFonts w:ascii="Times New Roman" w:hAnsi="Times New Roman" w:cs="Times New Roman"/>
          <w:sz w:val="24"/>
          <w:szCs w:val="24"/>
        </w:rPr>
        <w:t xml:space="preserve"> Trần Hữu Dàng</w:t>
      </w:r>
    </w:p>
    <w:p w14:paraId="26D9FE04" w14:textId="43F3851C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2. Năm sinh:</w:t>
      </w:r>
      <w:r w:rsidR="00472191" w:rsidRPr="00191C77">
        <w:rPr>
          <w:rFonts w:ascii="Times New Roman" w:hAnsi="Times New Roman" w:cs="Times New Roman"/>
          <w:sz w:val="24"/>
          <w:szCs w:val="24"/>
        </w:rPr>
        <w:t xml:space="preserve"> 1953</w:t>
      </w:r>
    </w:p>
    <w:p w14:paraId="60BB6F6D" w14:textId="33BBEA28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3. Chức vụ và cơ quan công tác hiện nay:</w:t>
      </w:r>
      <w:r w:rsidR="00472191" w:rsidRPr="00191C77">
        <w:rPr>
          <w:rFonts w:ascii="Times New Roman" w:hAnsi="Times New Roman" w:cs="Times New Roman"/>
          <w:sz w:val="24"/>
          <w:szCs w:val="24"/>
        </w:rPr>
        <w:t xml:space="preserve"> Giảng viên cao cấp Đại Học Y Dược- Đại Học Huế, Chủ tịch Liên Hiệp Các Hội KHKT Thừa Thiên Huế, 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>4. Năm được bổ nhiệm Giáo sư (hoặc Phó giáo sư):</w:t>
      </w:r>
      <w:r w:rsidR="00472191" w:rsidRPr="00536D06">
        <w:rPr>
          <w:rFonts w:ascii="Times New Roman" w:hAnsi="Times New Roman" w:cs="Times New Roman"/>
          <w:sz w:val="24"/>
          <w:szCs w:val="24"/>
          <w:lang w:val="vi-VN"/>
        </w:rPr>
        <w:t xml:space="preserve"> Giáo Sư năm 2011</w:t>
      </w:r>
    </w:p>
    <w:p w14:paraId="11AE977F" w14:textId="4F873922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Ngành: 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     </w:t>
      </w:r>
      <w:r w:rsidR="00472191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Y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                        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Chuyên ngành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472191" w:rsidRPr="00536D06">
        <w:rPr>
          <w:rFonts w:ascii="Times New Roman" w:hAnsi="Times New Roman" w:cs="Times New Roman"/>
          <w:sz w:val="24"/>
          <w:szCs w:val="24"/>
          <w:lang w:val="vi-VN"/>
        </w:rPr>
        <w:t xml:space="preserve"> Nội Khoa</w:t>
      </w:r>
    </w:p>
    <w:p w14:paraId="2CBDA6C8" w14:textId="77777777" w:rsidR="00472191" w:rsidRPr="00536D06" w:rsidRDefault="003F7257" w:rsidP="00472191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5. Danh hiệu trong nước và quốc tế:</w:t>
      </w:r>
      <w:r w:rsidR="00472191" w:rsidRPr="00536D06">
        <w:rPr>
          <w:rFonts w:ascii="Times New Roman" w:hAnsi="Times New Roman" w:cs="Times New Roman"/>
          <w:sz w:val="24"/>
          <w:szCs w:val="24"/>
          <w:lang w:val="vi-VN"/>
        </w:rPr>
        <w:t xml:space="preserve"> Phó Chủ tịch Hội Nội Tiết Đái Tháo đường Việt Nam, UVBCH Tổng Hội Y Học VN.</w:t>
      </w:r>
    </w:p>
    <w:p w14:paraId="1AFFE217" w14:textId="02B40C0B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6. Số công trình khoa học đã công bố </w:t>
      </w:r>
      <w:r w:rsidRPr="00536D06">
        <w:rPr>
          <w:rFonts w:ascii="Times New Roman" w:hAnsi="Times New Roman" w:cs="Times New Roman"/>
          <w:sz w:val="24"/>
          <w:szCs w:val="24"/>
          <w:lang w:val="vi-VN"/>
        </w:rPr>
        <w:t>tr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>ên các tạp chí khoa học:</w:t>
      </w:r>
      <w:r w:rsidR="00472191" w:rsidRPr="00536D06">
        <w:rPr>
          <w:rFonts w:ascii="Times New Roman" w:hAnsi="Times New Roman" w:cs="Times New Roman"/>
          <w:sz w:val="24"/>
          <w:szCs w:val="24"/>
          <w:lang w:val="vi-VN"/>
        </w:rPr>
        <w:t xml:space="preserve"> 210</w:t>
      </w:r>
    </w:p>
    <w:p w14:paraId="659150EA" w14:textId="77777777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Trong đó:</w:t>
      </w:r>
    </w:p>
    <w:p w14:paraId="12DA0291" w14:textId="66447671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- ISI hoặc/và Scopus: 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</w:t>
      </w:r>
      <w:r w:rsidR="00472191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0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     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(5 năm gần đây: 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</w:t>
      </w:r>
      <w:r w:rsidR="00536CA7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0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)</w:t>
      </w:r>
    </w:p>
    <w:p w14:paraId="50A13B2F" w14:textId="3278FB11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- Tạp ch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í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nước ngoài khác: 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</w:t>
      </w:r>
      <w:r w:rsidR="00536CA7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1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(5 năm gần đây: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</w:t>
      </w:r>
      <w:r w:rsidR="00536CA7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0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    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 )</w:t>
      </w:r>
    </w:p>
    <w:p w14:paraId="546850FD" w14:textId="6B80C0E3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536D06">
        <w:rPr>
          <w:rFonts w:ascii="Times New Roman" w:hAnsi="Times New Roman" w:cs="Times New Roman"/>
          <w:sz w:val="24"/>
          <w:szCs w:val="24"/>
          <w:lang w:val="vi-VN"/>
        </w:rPr>
        <w:t>7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>. Số sáng chế, giải pháp hữu ích:</w:t>
      </w:r>
      <w:r w:rsidR="00536CA7" w:rsidRPr="00536D06">
        <w:rPr>
          <w:rFonts w:ascii="Times New Roman" w:hAnsi="Times New Roman" w:cs="Times New Roman"/>
          <w:sz w:val="24"/>
          <w:szCs w:val="24"/>
          <w:lang w:val="vi-VN"/>
        </w:rPr>
        <w:t xml:space="preserve"> 1</w:t>
      </w:r>
    </w:p>
    <w:p w14:paraId="40F7EEB9" w14:textId="2A9B7207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Trong đó, quốc tế: 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 </w:t>
      </w:r>
      <w:r w:rsidR="00536CA7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0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         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(5 năm gần đây: 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</w:t>
      </w:r>
      <w:r w:rsidR="00536CA7"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0</w:t>
      </w:r>
      <w:r w:rsidRPr="00536D06">
        <w:rPr>
          <w:rFonts w:ascii="Times New Roman" w:hAnsi="Times New Roman" w:cs="Times New Roman"/>
          <w:i/>
          <w:iCs/>
          <w:sz w:val="24"/>
          <w:szCs w:val="24"/>
          <w:lang w:val="vi-VN"/>
        </w:rPr>
        <w:t>     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)</w:t>
      </w:r>
    </w:p>
    <w:p w14:paraId="028E0FDE" w14:textId="1541E457" w:rsidR="003F7257" w:rsidRPr="00536D06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  <w:lang w:val="vi-VN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8. Số sách chuyên khảo và giáo trình đã xuất bản:</w:t>
      </w:r>
      <w:r w:rsidR="00472191" w:rsidRPr="00536D06">
        <w:rPr>
          <w:rFonts w:ascii="Times New Roman" w:hAnsi="Times New Roman" w:cs="Times New Roman"/>
          <w:sz w:val="24"/>
          <w:szCs w:val="24"/>
          <w:lang w:val="vi-VN"/>
        </w:rPr>
        <w:t xml:space="preserve"> 1</w:t>
      </w:r>
      <w:r w:rsidR="00191C77" w:rsidRPr="00536D06">
        <w:rPr>
          <w:rFonts w:ascii="Times New Roman" w:hAnsi="Times New Roman" w:cs="Times New Roman"/>
          <w:sz w:val="24"/>
          <w:szCs w:val="24"/>
          <w:lang w:val="vi-VN"/>
        </w:rPr>
        <w:t>8</w:t>
      </w:r>
    </w:p>
    <w:p w14:paraId="1F037744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Trong đó:</w:t>
      </w:r>
    </w:p>
    <w:p w14:paraId="63032759" w14:textId="39A12C1E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- 5 năm gần đây:</w:t>
      </w:r>
      <w:r w:rsidR="00191C77" w:rsidRPr="00191C77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27B670D3" w14:textId="6C0243CF" w:rsidR="00191C77" w:rsidRPr="00191C77" w:rsidRDefault="003F7257" w:rsidP="00191C7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- Do Nhà xuất bản nước ngoài, Nhà xuất bản c</w:t>
      </w:r>
      <w:r w:rsidRPr="00191C77">
        <w:rPr>
          <w:rFonts w:ascii="Times New Roman" w:hAnsi="Times New Roman" w:cs="Times New Roman"/>
          <w:i/>
          <w:iCs/>
          <w:sz w:val="24"/>
          <w:szCs w:val="24"/>
        </w:rPr>
        <w:t>ấ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p Quốc gia, Bộ và tương đương xuất bản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191C77" w:rsidRPr="00191C77">
        <w:rPr>
          <w:rFonts w:ascii="Times New Roman" w:hAnsi="Times New Roman" w:cs="Times New Roman"/>
          <w:sz w:val="24"/>
          <w:szCs w:val="24"/>
        </w:rPr>
        <w:t>4</w:t>
      </w:r>
    </w:p>
    <w:p w14:paraId="2DF05FA0" w14:textId="1FE6EAF1" w:rsidR="00191C77" w:rsidRDefault="00191C77" w:rsidP="00191C7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Chẩn đoán và điều trị một số bệnh Nội tiết - Chuyển hóa. Nhà Xuất bản Y học 2016: Tham gia biên soạn. một số bài của các chương.</w:t>
      </w:r>
    </w:p>
    <w:p w14:paraId="49598FF9" w14:textId="6FF39389" w:rsidR="000614BA" w:rsidRDefault="000614BA" w:rsidP="00191C7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Khuyến cáo về bệnh nội tiết và chuyển hóa. Nhà xuất bản Y học 2016. Tham gia viết 2 bài</w:t>
      </w:r>
      <w:r w:rsidR="0071273A">
        <w:rPr>
          <w:rFonts w:ascii="Times New Roman" w:hAnsi="Times New Roman" w:cs="Times New Roman"/>
          <w:sz w:val="24"/>
          <w:szCs w:val="24"/>
        </w:rPr>
        <w:t xml:space="preserve"> trên tổng số</w:t>
      </w:r>
      <w:r w:rsidR="009464D7">
        <w:rPr>
          <w:rFonts w:ascii="Times New Roman" w:hAnsi="Times New Roman" w:cs="Times New Roman"/>
          <w:sz w:val="24"/>
          <w:szCs w:val="24"/>
        </w:rPr>
        <w:t xml:space="preserve"> 7 bài</w:t>
      </w:r>
    </w:p>
    <w:p w14:paraId="5FD595F6" w14:textId="53643EAC" w:rsidR="00191C77" w:rsidRDefault="000614BA" w:rsidP="00191C7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191C77">
        <w:rPr>
          <w:rFonts w:ascii="Times New Roman" w:hAnsi="Times New Roman" w:cs="Times New Roman"/>
          <w:sz w:val="24"/>
          <w:szCs w:val="24"/>
        </w:rPr>
        <w:t>.</w:t>
      </w:r>
      <w:r w:rsidR="00011E21">
        <w:rPr>
          <w:rFonts w:ascii="Times New Roman" w:hAnsi="Times New Roman" w:cs="Times New Roman"/>
          <w:sz w:val="24"/>
          <w:szCs w:val="24"/>
        </w:rPr>
        <w:t>Nội khoa cơ sở. Nhà Xuất bản Đại học Huế 2018: Tham gia viết bài Hội chứng nhiễm độc giáp.</w:t>
      </w:r>
    </w:p>
    <w:p w14:paraId="2007FAE7" w14:textId="0759481D" w:rsidR="00011E21" w:rsidRDefault="000614BA" w:rsidP="00191C7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11E21">
        <w:rPr>
          <w:rFonts w:ascii="Times New Roman" w:hAnsi="Times New Roman" w:cs="Times New Roman"/>
          <w:sz w:val="24"/>
          <w:szCs w:val="24"/>
        </w:rPr>
        <w:t>. Khuyến cáo về chẩn đoán và điều trị bệnh Đái tháo đường. Nhà Xuất bản Y học 2018. Tham gia viết 10 khuyến cáo trên tổng số 20 khuyến cáo</w:t>
      </w:r>
      <w:r w:rsidR="003F2380">
        <w:rPr>
          <w:rFonts w:ascii="Times New Roman" w:hAnsi="Times New Roman" w:cs="Times New Roman"/>
          <w:sz w:val="24"/>
          <w:szCs w:val="24"/>
        </w:rPr>
        <w:t>.</w:t>
      </w:r>
    </w:p>
    <w:p w14:paraId="5C764614" w14:textId="6CA7F060" w:rsidR="003F2380" w:rsidRPr="00191C77" w:rsidRDefault="000614BA" w:rsidP="00191C7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F2380">
        <w:rPr>
          <w:rFonts w:ascii="Times New Roman" w:hAnsi="Times New Roman" w:cs="Times New Roman"/>
          <w:sz w:val="24"/>
          <w:szCs w:val="24"/>
        </w:rPr>
        <w:t>. Khuyến cáo về Bệnh Nội tiết và Chuyển hóa. Nhà Xuất bản Y Học 2019. Tham gia viết 4 khuyến cáo trên tổng số 12 khuyến cáo.</w:t>
      </w:r>
    </w:p>
    <w:p w14:paraId="217885EC" w14:textId="77777777" w:rsidR="00191C77" w:rsidRPr="00191C77" w:rsidRDefault="00191C7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</w:p>
    <w:p w14:paraId="020C8C60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9. Tổng số trích dẫn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(nếu có):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91C7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>Chỉ số h</w:t>
      </w:r>
      <w:r w:rsidRPr="00191C7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vi-VN"/>
        </w:rPr>
        <w:t>index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(nếu có):</w:t>
      </w:r>
    </w:p>
    <w:p w14:paraId="3671EA09" w14:textId="40FD217D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10. Giải thưởng KH&amp;CN quốc tế, quốc gia hoặc tương đương:</w:t>
      </w:r>
      <w:r w:rsidR="00472191" w:rsidRPr="00191C7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2C26B9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>11</w:t>
      </w: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. Bài báo khoa học tiêu biểu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(Liệt kê tối đa 10 bài báo tiêu biểu trong cả quá trình, kèm theo chỉ số trích dẫn của bài b</w:t>
      </w:r>
      <w:r w:rsidRPr="00191C77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o và chỉ số ảnh hưởng của tạp chí, nếu có):</w:t>
      </w:r>
    </w:p>
    <w:p w14:paraId="3A6C6BF8" w14:textId="5788D73D" w:rsidR="00105669" w:rsidRPr="00191C77" w:rsidRDefault="00105669" w:rsidP="00105669">
      <w:pPr>
        <w:spacing w:before="240"/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1. Tỷ lệ mắc bệnh đái tháo đường trên người lớn (từ 15 tuổi trở lên) ở thành phố Huế.</w:t>
      </w:r>
    </w:p>
    <w:p w14:paraId="580BCB73" w14:textId="1CCB57C2" w:rsidR="00105669" w:rsidRPr="00191C77" w:rsidRDefault="00526A8B" w:rsidP="00105669">
      <w:pPr>
        <w:ind w:firstLine="720"/>
        <w:jc w:val="both"/>
        <w:rPr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>2</w:t>
      </w:r>
      <w:r w:rsidR="00105669" w:rsidRPr="00191C77">
        <w:rPr>
          <w:rFonts w:ascii="Times New Roman" w:hAnsi="Times New Roman" w:cs="Times New Roman"/>
          <w:sz w:val="24"/>
          <w:szCs w:val="24"/>
        </w:rPr>
        <w:t xml:space="preserve">. </w:t>
      </w:r>
      <w:r w:rsidR="00A21D73" w:rsidRPr="00191C77">
        <w:rPr>
          <w:sz w:val="24"/>
          <w:szCs w:val="24"/>
        </w:rPr>
        <w:t>Nghiên cứu rối loạn đường huyết trên bệnh nhân tai biến mạch máu não giai đoạn cấp.</w:t>
      </w:r>
    </w:p>
    <w:p w14:paraId="25915094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3.Nồng độ Estradiol, testosterone và bilan lipid máu ở phụ nữ mãn kinh</w:t>
      </w:r>
    </w:p>
    <w:p w14:paraId="058376EC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bCs/>
          <w:sz w:val="24"/>
          <w:szCs w:val="24"/>
        </w:rPr>
        <w:t>4.</w:t>
      </w:r>
      <w:r w:rsidRPr="00191C77">
        <w:rPr>
          <w:sz w:val="24"/>
          <w:szCs w:val="24"/>
        </w:rPr>
        <w:t>Mối liên quan giữa các tỷ số lipoprotein với kháng insulin ở người cao tuổi béo phì</w:t>
      </w:r>
    </w:p>
    <w:p w14:paraId="068BC288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5. Giá trị điểm cắt vòng bụng dự báo nguy cơ kháng insulin ở người cao tuổi thừa cân, béo phì</w:t>
      </w:r>
    </w:p>
    <w:p w14:paraId="176B226A" w14:textId="0E90C9B3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6. Kiểm soát mức đường huyết ở bệnh nhân nhồi máu cơ tim cấp.</w:t>
      </w:r>
    </w:p>
    <w:p w14:paraId="0DA61341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7. Nghiên cứu kháng thể kháng GAD ở bệnh nhân đái tháo đường không thừa cân béo phì.</w:t>
      </w:r>
    </w:p>
    <w:p w14:paraId="5EC3428D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8.Nghiên cứu bề dày lớp trung nội mạc động mạch cảnh trên các đối tượng béo phì.</w:t>
      </w:r>
    </w:p>
    <w:p w14:paraId="2ECE7F31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9. Nghiên cứu tình hình loãng xương và các ảnh hưởng do kinh nguyệt, số con ở phụ nữ trên 45 tuổi tại Quận Gò Vấp, TP Hồ Chí Minh.</w:t>
      </w:r>
    </w:p>
    <w:p w14:paraId="590AE40B" w14:textId="77777777" w:rsidR="00526A8B" w:rsidRPr="00191C77" w:rsidRDefault="00526A8B" w:rsidP="00526A8B">
      <w:pPr>
        <w:ind w:firstLine="720"/>
        <w:jc w:val="both"/>
        <w:rPr>
          <w:sz w:val="24"/>
          <w:szCs w:val="24"/>
        </w:rPr>
      </w:pPr>
      <w:r w:rsidRPr="00191C77">
        <w:rPr>
          <w:sz w:val="24"/>
          <w:szCs w:val="24"/>
        </w:rPr>
        <w:t>10. Liên quan giữa nồng độ NT-Pro BNP và tổn thương động mạch vành ở bệnh nhân hội chứng vành cấp</w:t>
      </w:r>
    </w:p>
    <w:p w14:paraId="42F24428" w14:textId="646F15B1" w:rsidR="00526A8B" w:rsidRPr="00191C77" w:rsidRDefault="00526A8B" w:rsidP="00526A8B">
      <w:pPr>
        <w:ind w:firstLine="720"/>
        <w:jc w:val="both"/>
        <w:rPr>
          <w:sz w:val="24"/>
          <w:szCs w:val="24"/>
        </w:rPr>
      </w:pPr>
    </w:p>
    <w:p w14:paraId="03DCFDFB" w14:textId="68E8FF6C" w:rsidR="00526A8B" w:rsidRPr="00191C77" w:rsidRDefault="00526A8B" w:rsidP="00526A8B">
      <w:pPr>
        <w:ind w:firstLine="720"/>
        <w:jc w:val="both"/>
        <w:rPr>
          <w:sz w:val="24"/>
          <w:szCs w:val="24"/>
        </w:rPr>
      </w:pPr>
    </w:p>
    <w:p w14:paraId="77D674AD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12. Sách chuyên khảo và giáo trình tiêu biểu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(Liệt kê tối đa 5 sách và/hoặc giáo trình tiêu biểu trong cả quá trình, kèm theo chỉ số trích dẫn, s</w:t>
      </w:r>
      <w:r w:rsidRPr="00191C77">
        <w:rPr>
          <w:rFonts w:ascii="Times New Roman" w:hAnsi="Times New Roman" w:cs="Times New Roman"/>
          <w:i/>
          <w:iCs/>
          <w:sz w:val="24"/>
          <w:szCs w:val="24"/>
        </w:rPr>
        <w:t xml:space="preserve">ố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lần tái bản, nếu có):</w:t>
      </w:r>
    </w:p>
    <w:p w14:paraId="3FF26CCB" w14:textId="10C30EC9" w:rsidR="00A21D73" w:rsidRPr="00191C77" w:rsidRDefault="00A21D73" w:rsidP="003F7257">
      <w:pPr>
        <w:spacing w:before="120" w:after="280" w:afterAutospacing="1"/>
        <w:rPr>
          <w:sz w:val="24"/>
          <w:szCs w:val="24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1C77">
        <w:rPr>
          <w:rFonts w:ascii="Times New Roman" w:hAnsi="Times New Roman" w:cs="Times New Roman"/>
          <w:iCs/>
          <w:sz w:val="24"/>
          <w:szCs w:val="24"/>
        </w:rPr>
        <w:t>1</w:t>
      </w:r>
      <w:r w:rsidRPr="00191C7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91C77">
        <w:rPr>
          <w:sz w:val="24"/>
          <w:szCs w:val="24"/>
        </w:rPr>
        <w:t>Đái tháo đường tụy xơ sỏi.</w:t>
      </w:r>
    </w:p>
    <w:p w14:paraId="57A599E2" w14:textId="261AFC21" w:rsidR="00A21D73" w:rsidRPr="00191C77" w:rsidRDefault="00A21D73" w:rsidP="003F7257">
      <w:pPr>
        <w:spacing w:before="120" w:after="280" w:afterAutospacing="1"/>
        <w:rPr>
          <w:sz w:val="24"/>
          <w:szCs w:val="24"/>
        </w:rPr>
      </w:pPr>
      <w:r w:rsidRPr="00191C77">
        <w:rPr>
          <w:sz w:val="24"/>
          <w:szCs w:val="24"/>
        </w:rPr>
        <w:tab/>
        <w:t>2. Giáo trình Sau Đại học Chuyên ngành Nội tiết và chuyển hóa.</w:t>
      </w:r>
    </w:p>
    <w:p w14:paraId="74473FEC" w14:textId="02CF19D3" w:rsidR="00A21D73" w:rsidRPr="00191C77" w:rsidRDefault="00A21D73" w:rsidP="003F7257">
      <w:pPr>
        <w:spacing w:before="120" w:after="280" w:afterAutospacing="1"/>
        <w:rPr>
          <w:sz w:val="24"/>
          <w:szCs w:val="24"/>
        </w:rPr>
      </w:pPr>
      <w:r w:rsidRPr="00191C77">
        <w:rPr>
          <w:sz w:val="24"/>
          <w:szCs w:val="24"/>
        </w:rPr>
        <w:tab/>
        <w:t>3. Cấp cứu Nội tiết Chuyển hóa.</w:t>
      </w:r>
    </w:p>
    <w:p w14:paraId="0295368E" w14:textId="4D459E1A" w:rsidR="00A21D73" w:rsidRPr="00191C77" w:rsidRDefault="00A21D73" w:rsidP="003F7257">
      <w:pPr>
        <w:spacing w:before="120" w:after="280" w:afterAutospacing="1"/>
        <w:rPr>
          <w:sz w:val="24"/>
          <w:szCs w:val="24"/>
        </w:rPr>
      </w:pPr>
      <w:r w:rsidRPr="00191C77">
        <w:rPr>
          <w:sz w:val="24"/>
          <w:szCs w:val="24"/>
        </w:rPr>
        <w:tab/>
        <w:t>4. Khuyến cáo về chẩn đoán và điều trị bệnh đái tháo đường</w:t>
      </w:r>
    </w:p>
    <w:p w14:paraId="5E1E66FA" w14:textId="0FC41E2E" w:rsidR="00A21D73" w:rsidRPr="00191C77" w:rsidRDefault="00A21D73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sz w:val="24"/>
          <w:szCs w:val="24"/>
        </w:rPr>
        <w:tab/>
        <w:t>5. BNP và NT-ProBNP trong thực hành lâm sàng</w:t>
      </w:r>
    </w:p>
    <w:p w14:paraId="7946F925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>13. Kết quả nghiên cứu khoa học tiêu biểu trong 5 năm gần đây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14:paraId="14A29B7F" w14:textId="77777777" w:rsidR="00A21D73" w:rsidRPr="00191C77" w:rsidRDefault="00A21D73" w:rsidP="00A21D73">
      <w:pPr>
        <w:jc w:val="both"/>
        <w:rPr>
          <w:sz w:val="24"/>
          <w:szCs w:val="24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1C77">
        <w:rPr>
          <w:rFonts w:ascii="Times New Roman" w:hAnsi="Times New Roman" w:cs="Times New Roman"/>
          <w:iCs/>
          <w:sz w:val="24"/>
          <w:szCs w:val="24"/>
        </w:rPr>
        <w:t>1.</w:t>
      </w:r>
      <w:r w:rsidRPr="00191C77">
        <w:rPr>
          <w:sz w:val="24"/>
          <w:szCs w:val="24"/>
        </w:rPr>
        <w:t>Xác định nồng độ leptin huyết tương ở các đối tượng có Hội chứng chuyển hóa</w:t>
      </w:r>
    </w:p>
    <w:p w14:paraId="247E8D91" w14:textId="77777777" w:rsidR="00A21D73" w:rsidRPr="00191C77" w:rsidRDefault="00A21D73" w:rsidP="00A21D73">
      <w:pPr>
        <w:jc w:val="both"/>
        <w:rPr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91C77">
        <w:rPr>
          <w:sz w:val="24"/>
          <w:szCs w:val="24"/>
        </w:rPr>
        <w:t>Nghiên cứu nồng độ APO  AI, APO B ở bệnh nhân tiền đái tháo đường, đái tháo đường týp 2 mới phát hiện</w:t>
      </w:r>
    </w:p>
    <w:p w14:paraId="438A8F76" w14:textId="77777777" w:rsidR="00A21D73" w:rsidRPr="00191C77" w:rsidRDefault="00A21D73" w:rsidP="00A21D73">
      <w:pPr>
        <w:jc w:val="both"/>
        <w:rPr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91C77">
        <w:rPr>
          <w:sz w:val="24"/>
          <w:szCs w:val="24"/>
        </w:rPr>
        <w:t>Đánh giá tỷ lệ Đái tháo đường thai kỳ tại Bệnh viện Phụ sản -  Nhi Đà nẵng</w:t>
      </w:r>
    </w:p>
    <w:p w14:paraId="7A14FC54" w14:textId="77777777" w:rsidR="00A21D73" w:rsidRPr="00191C77" w:rsidRDefault="00A21D73" w:rsidP="00A21D73">
      <w:pPr>
        <w:jc w:val="both"/>
        <w:rPr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191C77">
        <w:rPr>
          <w:sz w:val="24"/>
          <w:szCs w:val="24"/>
        </w:rPr>
        <w:t>Vai trò của NT-proBNP ở bệnh nhân Đái tháo đường</w:t>
      </w:r>
    </w:p>
    <w:p w14:paraId="330AAE52" w14:textId="6B6BDDB4" w:rsidR="00A21D73" w:rsidRPr="00191C77" w:rsidRDefault="00A21D73" w:rsidP="00A21D73">
      <w:pPr>
        <w:spacing w:before="240"/>
        <w:ind w:firstLine="720"/>
        <w:jc w:val="both"/>
        <w:rPr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 xml:space="preserve">5. </w:t>
      </w:r>
      <w:r w:rsidRPr="00191C77">
        <w:rPr>
          <w:sz w:val="24"/>
          <w:szCs w:val="24"/>
        </w:rPr>
        <w:t>Nghiên cứu bào chế và đánh giá tác dụng của của thuốc tiền liệt thanh giải dùng điều trị phì đại lành tính tuyến tiền liệt.</w:t>
      </w:r>
      <w:r w:rsidR="003F2380">
        <w:rPr>
          <w:sz w:val="24"/>
          <w:szCs w:val="24"/>
        </w:rPr>
        <w:t xml:space="preserve"> ( Chủ trì Đề tài cấp Quốc gia theo nghị định thư)</w:t>
      </w:r>
    </w:p>
    <w:p w14:paraId="71C67797" w14:textId="18C586A1" w:rsidR="00A21D73" w:rsidRPr="00191C77" w:rsidRDefault="00A21D73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</w:p>
    <w:p w14:paraId="32D0FAA7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  <w:lang w:val="vi-VN"/>
        </w:rPr>
        <w:t xml:space="preserve">14. Các hoạt động cộng đồng hiện nay </w:t>
      </w:r>
      <w:r w:rsidRPr="00191C77">
        <w:rPr>
          <w:rFonts w:ascii="Times New Roman" w:hAnsi="Times New Roman" w:cs="Times New Roman"/>
          <w:i/>
          <w:iCs/>
          <w:sz w:val="24"/>
          <w:szCs w:val="24"/>
          <w:lang w:val="vi-VN"/>
        </w:rPr>
        <w:t>(Lãnh đạo các hiệp hội khoa học, kỹ thuật trong nước và quốc tế; Ban biên tập tạp chí khoa học,...):</w:t>
      </w:r>
    </w:p>
    <w:p w14:paraId="766E05DD" w14:textId="58C68BC6" w:rsidR="00A21D73" w:rsidRPr="00191C77" w:rsidRDefault="00A21D73" w:rsidP="003F7257">
      <w:pPr>
        <w:spacing w:before="120" w:after="280" w:afterAutospacing="1"/>
        <w:rPr>
          <w:rFonts w:ascii="Times New Roman" w:hAnsi="Times New Roman" w:cs="Times New Roman"/>
          <w:iCs/>
          <w:sz w:val="24"/>
          <w:szCs w:val="24"/>
        </w:rPr>
      </w:pPr>
      <w:r w:rsidRPr="00191C7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91C77">
        <w:rPr>
          <w:rFonts w:ascii="Times New Roman" w:hAnsi="Times New Roman" w:cs="Times New Roman"/>
          <w:iCs/>
          <w:sz w:val="24"/>
          <w:szCs w:val="24"/>
        </w:rPr>
        <w:t>- UV Hội đồng Trung ương Liên Hiệp các Hội KHKT VN.</w:t>
      </w:r>
    </w:p>
    <w:p w14:paraId="43E8E5D9" w14:textId="6017D383" w:rsidR="00A21D73" w:rsidRPr="00191C77" w:rsidRDefault="00A21D73" w:rsidP="003F7257">
      <w:pPr>
        <w:spacing w:before="120" w:after="280" w:afterAutospacing="1"/>
        <w:rPr>
          <w:rFonts w:ascii="Times New Roman" w:hAnsi="Times New Roman" w:cs="Times New Roman"/>
          <w:iCs/>
          <w:sz w:val="24"/>
          <w:szCs w:val="24"/>
        </w:rPr>
      </w:pPr>
      <w:r w:rsidRPr="00191C77">
        <w:rPr>
          <w:rFonts w:ascii="Times New Roman" w:hAnsi="Times New Roman" w:cs="Times New Roman"/>
          <w:iCs/>
          <w:sz w:val="24"/>
          <w:szCs w:val="24"/>
        </w:rPr>
        <w:tab/>
        <w:t>- Chủ tịch Liên Hiệp các Hội KHKT Thừa Thiên Huế</w:t>
      </w:r>
    </w:p>
    <w:p w14:paraId="7CD3B01A" w14:textId="5442200B" w:rsidR="00A21D73" w:rsidRPr="00191C77" w:rsidRDefault="00A21D73" w:rsidP="003F7257">
      <w:pPr>
        <w:spacing w:before="120" w:after="280" w:afterAutospacing="1"/>
        <w:rPr>
          <w:rFonts w:ascii="Times New Roman" w:hAnsi="Times New Roman" w:cs="Times New Roman"/>
          <w:iCs/>
          <w:sz w:val="24"/>
          <w:szCs w:val="24"/>
        </w:rPr>
      </w:pPr>
      <w:r w:rsidRPr="00191C77">
        <w:rPr>
          <w:rFonts w:ascii="Times New Roman" w:hAnsi="Times New Roman" w:cs="Times New Roman"/>
          <w:iCs/>
          <w:sz w:val="24"/>
          <w:szCs w:val="24"/>
        </w:rPr>
        <w:tab/>
        <w:t>-</w:t>
      </w:r>
      <w:r w:rsidR="00B56BC4" w:rsidRPr="00191C77">
        <w:rPr>
          <w:rFonts w:ascii="Times New Roman" w:hAnsi="Times New Roman" w:cs="Times New Roman"/>
          <w:iCs/>
          <w:sz w:val="24"/>
          <w:szCs w:val="24"/>
        </w:rPr>
        <w:t xml:space="preserve"> UV BCB Tổng Hội Y Học VN</w:t>
      </w:r>
    </w:p>
    <w:p w14:paraId="1D334DF3" w14:textId="0E420DF8" w:rsidR="00B56BC4" w:rsidRPr="00191C77" w:rsidRDefault="00B56BC4" w:rsidP="003F7257">
      <w:pPr>
        <w:spacing w:before="120" w:after="280" w:afterAutospacing="1"/>
        <w:rPr>
          <w:rFonts w:ascii="Times New Roman" w:hAnsi="Times New Roman" w:cs="Times New Roman"/>
          <w:iCs/>
          <w:sz w:val="24"/>
          <w:szCs w:val="24"/>
        </w:rPr>
      </w:pPr>
      <w:r w:rsidRPr="00191C77">
        <w:rPr>
          <w:rFonts w:ascii="Times New Roman" w:hAnsi="Times New Roman" w:cs="Times New Roman"/>
          <w:iCs/>
          <w:sz w:val="24"/>
          <w:szCs w:val="24"/>
        </w:rPr>
        <w:tab/>
        <w:t xml:space="preserve">- Phó chủ tịc Hội Nội tiết Đái </w:t>
      </w:r>
      <w:r w:rsidR="009249B4" w:rsidRPr="00191C77">
        <w:rPr>
          <w:rFonts w:ascii="Times New Roman" w:hAnsi="Times New Roman" w:cs="Times New Roman"/>
          <w:iCs/>
          <w:sz w:val="24"/>
          <w:szCs w:val="24"/>
        </w:rPr>
        <w:t>t</w:t>
      </w:r>
      <w:r w:rsidRPr="00191C77">
        <w:rPr>
          <w:rFonts w:ascii="Times New Roman" w:hAnsi="Times New Roman" w:cs="Times New Roman"/>
          <w:iCs/>
          <w:sz w:val="24"/>
          <w:szCs w:val="24"/>
        </w:rPr>
        <w:t xml:space="preserve">háo </w:t>
      </w:r>
      <w:r w:rsidR="009249B4" w:rsidRPr="00191C77">
        <w:rPr>
          <w:rFonts w:ascii="Times New Roman" w:hAnsi="Times New Roman" w:cs="Times New Roman"/>
          <w:iCs/>
          <w:sz w:val="24"/>
          <w:szCs w:val="24"/>
        </w:rPr>
        <w:t>đ</w:t>
      </w:r>
      <w:r w:rsidRPr="00191C77">
        <w:rPr>
          <w:rFonts w:ascii="Times New Roman" w:hAnsi="Times New Roman" w:cs="Times New Roman"/>
          <w:iCs/>
          <w:sz w:val="24"/>
          <w:szCs w:val="24"/>
        </w:rPr>
        <w:t>ường VN.</w:t>
      </w:r>
    </w:p>
    <w:p w14:paraId="719F31D9" w14:textId="0C076AC4" w:rsidR="00B56BC4" w:rsidRPr="00191C77" w:rsidRDefault="00B56BC4" w:rsidP="003F7257">
      <w:pPr>
        <w:spacing w:before="120" w:after="280" w:afterAutospacing="1"/>
        <w:rPr>
          <w:rFonts w:ascii="Times New Roman" w:hAnsi="Times New Roman" w:cs="Times New Roman"/>
          <w:iCs/>
          <w:sz w:val="24"/>
          <w:szCs w:val="24"/>
        </w:rPr>
      </w:pPr>
      <w:r w:rsidRPr="00191C77">
        <w:rPr>
          <w:rFonts w:ascii="Times New Roman" w:hAnsi="Times New Roman" w:cs="Times New Roman"/>
          <w:iCs/>
          <w:sz w:val="24"/>
          <w:szCs w:val="24"/>
        </w:rPr>
        <w:lastRenderedPageBreak/>
        <w:tab/>
        <w:t>- Chủ</w:t>
      </w:r>
      <w:r w:rsidR="009249B4" w:rsidRPr="00191C77">
        <w:rPr>
          <w:rFonts w:ascii="Times New Roman" w:hAnsi="Times New Roman" w:cs="Times New Roman"/>
          <w:iCs/>
          <w:sz w:val="24"/>
          <w:szCs w:val="24"/>
        </w:rPr>
        <w:t xml:space="preserve"> tịch Hội Nội tiết Đái tháo đường Thừa Thiên Huế.</w:t>
      </w:r>
    </w:p>
    <w:p w14:paraId="171E9A05" w14:textId="4B08ACDE" w:rsidR="009249B4" w:rsidRPr="00191C77" w:rsidRDefault="009249B4" w:rsidP="003F7257">
      <w:pPr>
        <w:spacing w:before="120" w:after="280" w:afterAutospacing="1"/>
        <w:rPr>
          <w:rFonts w:ascii="Times New Roman" w:hAnsi="Times New Roman" w:cs="Times New Roman"/>
          <w:iCs/>
          <w:sz w:val="24"/>
          <w:szCs w:val="24"/>
        </w:rPr>
      </w:pPr>
      <w:r w:rsidRPr="00191C77">
        <w:rPr>
          <w:rFonts w:ascii="Times New Roman" w:hAnsi="Times New Roman" w:cs="Times New Roman"/>
          <w:iCs/>
          <w:sz w:val="24"/>
          <w:szCs w:val="24"/>
        </w:rPr>
        <w:tab/>
        <w:t>- Tổng biên tập Tạp Chí Y Dược Đại Học Y Dược Huế</w:t>
      </w:r>
    </w:p>
    <w:p w14:paraId="3974A5C8" w14:textId="1B69F1E2" w:rsidR="009249B4" w:rsidRPr="00191C77" w:rsidRDefault="009249B4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iCs/>
          <w:sz w:val="24"/>
          <w:szCs w:val="24"/>
        </w:rPr>
        <w:tab/>
        <w:t>- UV Phản biện các Abstract của Liên Đoàn Đái tháo đường Quốc tế khu vực Tây Thái Bình Dương.</w:t>
      </w:r>
    </w:p>
    <w:p w14:paraId="162C960A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257" w:rsidRPr="00191C77" w14:paraId="04613B18" w14:textId="77777777" w:rsidTr="00F3613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80B" w14:textId="77777777" w:rsidR="003F7257" w:rsidRPr="00191C77" w:rsidRDefault="003F7257" w:rsidP="00F3613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294B" w14:textId="77777777" w:rsidR="003F7257" w:rsidRPr="00191C77" w:rsidRDefault="003F7257" w:rsidP="00F36137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</w:t>
            </w:r>
            <w:r w:rsidRPr="00191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 viên</w:t>
            </w:r>
            <w:r w:rsidRPr="00191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91C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 và ghi rõ họ tên)</w:t>
            </w:r>
          </w:p>
          <w:p w14:paraId="19F9F972" w14:textId="77777777" w:rsidR="009249B4" w:rsidRPr="00191C77" w:rsidRDefault="009249B4" w:rsidP="00F36137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E3417D" w14:textId="77777777" w:rsidR="009249B4" w:rsidRPr="00191C77" w:rsidRDefault="009249B4" w:rsidP="00F36137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2F807E" w14:textId="7249F2F1" w:rsidR="009249B4" w:rsidRPr="00191C77" w:rsidRDefault="009249B4" w:rsidP="00F3613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GS.TS Trần Hữu Dàng</w:t>
            </w:r>
          </w:p>
        </w:tc>
      </w:tr>
    </w:tbl>
    <w:p w14:paraId="2124A89D" w14:textId="77777777" w:rsidR="003F7257" w:rsidRPr="00191C77" w:rsidRDefault="003F7257" w:rsidP="003F7257">
      <w:pPr>
        <w:spacing w:before="120" w:after="280" w:afterAutospacing="1"/>
        <w:rPr>
          <w:rFonts w:ascii="Times New Roman" w:hAnsi="Times New Roman" w:cs="Times New Roman"/>
          <w:sz w:val="24"/>
          <w:szCs w:val="24"/>
        </w:rPr>
      </w:pPr>
      <w:r w:rsidRPr="00191C77">
        <w:rPr>
          <w:rFonts w:ascii="Times New Roman" w:hAnsi="Times New Roman" w:cs="Times New Roman"/>
          <w:sz w:val="24"/>
          <w:szCs w:val="24"/>
        </w:rPr>
        <w:t> </w:t>
      </w:r>
    </w:p>
    <w:p w14:paraId="16655EE9" w14:textId="77777777" w:rsidR="00743E3E" w:rsidRPr="00191C77" w:rsidRDefault="00743E3E" w:rsidP="003F7257">
      <w:pPr>
        <w:rPr>
          <w:rFonts w:ascii="Times New Roman" w:hAnsi="Times New Roman" w:cs="Times New Roman"/>
          <w:sz w:val="24"/>
          <w:szCs w:val="24"/>
        </w:rPr>
      </w:pPr>
    </w:p>
    <w:sectPr w:rsidR="00743E3E" w:rsidRPr="00191C77" w:rsidSect="003F7257">
      <w:pgSz w:w="12240" w:h="15840"/>
      <w:pgMar w:top="1440" w:right="8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773"/>
    <w:multiLevelType w:val="hybridMultilevel"/>
    <w:tmpl w:val="989C3254"/>
    <w:lvl w:ilvl="0" w:tplc="5360FC8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CAD4409"/>
    <w:multiLevelType w:val="hybridMultilevel"/>
    <w:tmpl w:val="27C8743E"/>
    <w:lvl w:ilvl="0" w:tplc="AF7CBA42">
      <w:start w:val="2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6"/>
    <w:rsid w:val="00011E21"/>
    <w:rsid w:val="00011F64"/>
    <w:rsid w:val="00025E90"/>
    <w:rsid w:val="000306E5"/>
    <w:rsid w:val="000614BA"/>
    <w:rsid w:val="00062D38"/>
    <w:rsid w:val="00072468"/>
    <w:rsid w:val="00080033"/>
    <w:rsid w:val="00081C4B"/>
    <w:rsid w:val="00097BF8"/>
    <w:rsid w:val="000A0785"/>
    <w:rsid w:val="000B33F8"/>
    <w:rsid w:val="000B35BB"/>
    <w:rsid w:val="000B7468"/>
    <w:rsid w:val="000B7940"/>
    <w:rsid w:val="000C36DD"/>
    <w:rsid w:val="000F2410"/>
    <w:rsid w:val="000F383C"/>
    <w:rsid w:val="000F72A7"/>
    <w:rsid w:val="00105669"/>
    <w:rsid w:val="001149D3"/>
    <w:rsid w:val="00124CC5"/>
    <w:rsid w:val="00127C0B"/>
    <w:rsid w:val="00130EFB"/>
    <w:rsid w:val="00162FA2"/>
    <w:rsid w:val="001745F9"/>
    <w:rsid w:val="00182A26"/>
    <w:rsid w:val="00187607"/>
    <w:rsid w:val="00187B16"/>
    <w:rsid w:val="00191C77"/>
    <w:rsid w:val="001C2BF4"/>
    <w:rsid w:val="001F11EC"/>
    <w:rsid w:val="001F153A"/>
    <w:rsid w:val="0020291F"/>
    <w:rsid w:val="00223B8B"/>
    <w:rsid w:val="00226D6A"/>
    <w:rsid w:val="00233E49"/>
    <w:rsid w:val="00256AD8"/>
    <w:rsid w:val="0027487F"/>
    <w:rsid w:val="00287E03"/>
    <w:rsid w:val="002964BF"/>
    <w:rsid w:val="002A2FD2"/>
    <w:rsid w:val="002B6ADF"/>
    <w:rsid w:val="002E059F"/>
    <w:rsid w:val="002E6914"/>
    <w:rsid w:val="002E7553"/>
    <w:rsid w:val="002F76DD"/>
    <w:rsid w:val="003106FD"/>
    <w:rsid w:val="0031298B"/>
    <w:rsid w:val="0032500E"/>
    <w:rsid w:val="00325B51"/>
    <w:rsid w:val="003278AF"/>
    <w:rsid w:val="00336990"/>
    <w:rsid w:val="003471EB"/>
    <w:rsid w:val="003524A6"/>
    <w:rsid w:val="00372034"/>
    <w:rsid w:val="00383912"/>
    <w:rsid w:val="003B4DE6"/>
    <w:rsid w:val="003B6CC5"/>
    <w:rsid w:val="003D25D8"/>
    <w:rsid w:val="003F2380"/>
    <w:rsid w:val="003F7257"/>
    <w:rsid w:val="00401A95"/>
    <w:rsid w:val="004219C6"/>
    <w:rsid w:val="00441367"/>
    <w:rsid w:val="004525E6"/>
    <w:rsid w:val="00456919"/>
    <w:rsid w:val="00465245"/>
    <w:rsid w:val="00472191"/>
    <w:rsid w:val="00474483"/>
    <w:rsid w:val="00480B1D"/>
    <w:rsid w:val="00482512"/>
    <w:rsid w:val="004929B9"/>
    <w:rsid w:val="004C708A"/>
    <w:rsid w:val="004D6FA3"/>
    <w:rsid w:val="004E6FA5"/>
    <w:rsid w:val="00506DF0"/>
    <w:rsid w:val="00524065"/>
    <w:rsid w:val="00526A8B"/>
    <w:rsid w:val="00536A16"/>
    <w:rsid w:val="00536CA7"/>
    <w:rsid w:val="00536D06"/>
    <w:rsid w:val="00540826"/>
    <w:rsid w:val="0054213D"/>
    <w:rsid w:val="005519B8"/>
    <w:rsid w:val="005750FB"/>
    <w:rsid w:val="00592CAA"/>
    <w:rsid w:val="005A2CA0"/>
    <w:rsid w:val="005A6CB6"/>
    <w:rsid w:val="005A6FAC"/>
    <w:rsid w:val="005B01B7"/>
    <w:rsid w:val="005B0FF2"/>
    <w:rsid w:val="005C4F51"/>
    <w:rsid w:val="005E03EE"/>
    <w:rsid w:val="006067B3"/>
    <w:rsid w:val="006378B0"/>
    <w:rsid w:val="00640608"/>
    <w:rsid w:val="00646E74"/>
    <w:rsid w:val="00671F71"/>
    <w:rsid w:val="006966B5"/>
    <w:rsid w:val="006B016D"/>
    <w:rsid w:val="00703B3C"/>
    <w:rsid w:val="0071273A"/>
    <w:rsid w:val="00724185"/>
    <w:rsid w:val="00734990"/>
    <w:rsid w:val="0074293F"/>
    <w:rsid w:val="00743E3E"/>
    <w:rsid w:val="00766E78"/>
    <w:rsid w:val="0076797B"/>
    <w:rsid w:val="00791C61"/>
    <w:rsid w:val="007A32B3"/>
    <w:rsid w:val="007B296B"/>
    <w:rsid w:val="007D7B3A"/>
    <w:rsid w:val="007E7AFA"/>
    <w:rsid w:val="007F1BAB"/>
    <w:rsid w:val="00810C3C"/>
    <w:rsid w:val="00843661"/>
    <w:rsid w:val="008437F9"/>
    <w:rsid w:val="008777D6"/>
    <w:rsid w:val="00881A44"/>
    <w:rsid w:val="008879F2"/>
    <w:rsid w:val="00890CA4"/>
    <w:rsid w:val="008C041F"/>
    <w:rsid w:val="008D743E"/>
    <w:rsid w:val="008E7B41"/>
    <w:rsid w:val="00902C2E"/>
    <w:rsid w:val="00903BFF"/>
    <w:rsid w:val="0091480A"/>
    <w:rsid w:val="009249B4"/>
    <w:rsid w:val="009464D7"/>
    <w:rsid w:val="00956BF4"/>
    <w:rsid w:val="009667BE"/>
    <w:rsid w:val="009675F9"/>
    <w:rsid w:val="00983210"/>
    <w:rsid w:val="00984874"/>
    <w:rsid w:val="00993893"/>
    <w:rsid w:val="009C4033"/>
    <w:rsid w:val="00A07E12"/>
    <w:rsid w:val="00A13862"/>
    <w:rsid w:val="00A20DF0"/>
    <w:rsid w:val="00A21D73"/>
    <w:rsid w:val="00A227E8"/>
    <w:rsid w:val="00A26557"/>
    <w:rsid w:val="00A51759"/>
    <w:rsid w:val="00A538B6"/>
    <w:rsid w:val="00AB025D"/>
    <w:rsid w:val="00AB61A8"/>
    <w:rsid w:val="00AC2AB2"/>
    <w:rsid w:val="00AD4B59"/>
    <w:rsid w:val="00AF452C"/>
    <w:rsid w:val="00AF5494"/>
    <w:rsid w:val="00B40F92"/>
    <w:rsid w:val="00B42A5D"/>
    <w:rsid w:val="00B51D25"/>
    <w:rsid w:val="00B56BC4"/>
    <w:rsid w:val="00B61850"/>
    <w:rsid w:val="00B80678"/>
    <w:rsid w:val="00B93EA5"/>
    <w:rsid w:val="00B9520C"/>
    <w:rsid w:val="00B975C0"/>
    <w:rsid w:val="00BC35CB"/>
    <w:rsid w:val="00BF37DF"/>
    <w:rsid w:val="00C076EA"/>
    <w:rsid w:val="00C17F1B"/>
    <w:rsid w:val="00C31A42"/>
    <w:rsid w:val="00C43098"/>
    <w:rsid w:val="00C52D7B"/>
    <w:rsid w:val="00C872BE"/>
    <w:rsid w:val="00C92EE0"/>
    <w:rsid w:val="00CD7CF0"/>
    <w:rsid w:val="00CE5C01"/>
    <w:rsid w:val="00CF2EAF"/>
    <w:rsid w:val="00CF559F"/>
    <w:rsid w:val="00D23859"/>
    <w:rsid w:val="00D24E58"/>
    <w:rsid w:val="00D34E0C"/>
    <w:rsid w:val="00D51D73"/>
    <w:rsid w:val="00D7064B"/>
    <w:rsid w:val="00D76C64"/>
    <w:rsid w:val="00D7744A"/>
    <w:rsid w:val="00D87B95"/>
    <w:rsid w:val="00DB2432"/>
    <w:rsid w:val="00DB3EB1"/>
    <w:rsid w:val="00DC6206"/>
    <w:rsid w:val="00DD12FF"/>
    <w:rsid w:val="00DF012C"/>
    <w:rsid w:val="00DF1B25"/>
    <w:rsid w:val="00DF60F2"/>
    <w:rsid w:val="00E0375C"/>
    <w:rsid w:val="00E05075"/>
    <w:rsid w:val="00E25BDC"/>
    <w:rsid w:val="00E33F9A"/>
    <w:rsid w:val="00E513E6"/>
    <w:rsid w:val="00E5613A"/>
    <w:rsid w:val="00E72D42"/>
    <w:rsid w:val="00E741D8"/>
    <w:rsid w:val="00E9452C"/>
    <w:rsid w:val="00EC18C1"/>
    <w:rsid w:val="00ED3114"/>
    <w:rsid w:val="00EF0329"/>
    <w:rsid w:val="00EF78F5"/>
    <w:rsid w:val="00EF7EF0"/>
    <w:rsid w:val="00F1214A"/>
    <w:rsid w:val="00F23395"/>
    <w:rsid w:val="00F31D1F"/>
    <w:rsid w:val="00F409D6"/>
    <w:rsid w:val="00F45DC3"/>
    <w:rsid w:val="00F64513"/>
    <w:rsid w:val="00F706EB"/>
    <w:rsid w:val="00FA3092"/>
    <w:rsid w:val="00FB3C5A"/>
    <w:rsid w:val="00FB7015"/>
    <w:rsid w:val="00FC4266"/>
    <w:rsid w:val="00FD61F1"/>
    <w:rsid w:val="00FD6AF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2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2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2DA7-8B93-4BAB-B220-07811B70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2</cp:revision>
  <cp:lastPrinted>2019-02-12T08:26:00Z</cp:lastPrinted>
  <dcterms:created xsi:type="dcterms:W3CDTF">2019-05-13T02:08:00Z</dcterms:created>
  <dcterms:modified xsi:type="dcterms:W3CDTF">2019-05-13T02:08:00Z</dcterms:modified>
</cp:coreProperties>
</file>