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8D" w:rsidRDefault="00F6608D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vi-VN"/>
        </w:rPr>
      </w:pPr>
      <w:bookmarkStart w:id="0" w:name="chuong_pl_3"/>
      <w:bookmarkStart w:id="1" w:name="_GoBack"/>
      <w:bookmarkEnd w:id="1"/>
    </w:p>
    <w:p w:rsidR="00C80DBB" w:rsidRPr="0082783B" w:rsidRDefault="00C80DBB" w:rsidP="00C80DBB">
      <w:pPr>
        <w:jc w:val="right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C80DBB" w:rsidRDefault="00C80DBB" w:rsidP="00C80DB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chuong_pl_3_name"/>
    </w:p>
    <w:p w:rsidR="00C80DBB" w:rsidRPr="0082783B" w:rsidRDefault="00C80DBB" w:rsidP="00C80DBB">
      <w:pPr>
        <w:jc w:val="center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b/>
          <w:bCs/>
          <w:sz w:val="20"/>
          <w:szCs w:val="20"/>
          <w:lang w:val="vi-VN"/>
        </w:rPr>
        <w:t>TÓM TẮT LÝ LỊCH KHOA HỌC ỨNG VIÊN THAM GIA HỘI ĐỒNG GIÁO SƯ</w:t>
      </w:r>
      <w:bookmarkEnd w:id="2"/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80DBB" w:rsidRPr="008D1F83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1. Họ và tên:</w:t>
      </w:r>
      <w:r w:rsidR="008D1F83">
        <w:rPr>
          <w:rFonts w:ascii="Arial" w:hAnsi="Arial" w:cs="Arial"/>
          <w:sz w:val="20"/>
          <w:szCs w:val="20"/>
        </w:rPr>
        <w:t xml:space="preserve"> Trương Minh Đức</w:t>
      </w:r>
    </w:p>
    <w:p w:rsidR="00C80DBB" w:rsidRPr="008D1F83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2. Năm sinh:</w:t>
      </w:r>
      <w:r w:rsidR="008D1F83">
        <w:rPr>
          <w:rFonts w:ascii="Arial" w:hAnsi="Arial" w:cs="Arial"/>
          <w:sz w:val="20"/>
          <w:szCs w:val="20"/>
        </w:rPr>
        <w:t xml:space="preserve"> 1971</w:t>
      </w:r>
    </w:p>
    <w:p w:rsidR="00C80DBB" w:rsidRPr="008D1F83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3. Chức vụ và cơ quan công tác hiện nay:</w:t>
      </w:r>
      <w:r w:rsidR="008D1F83">
        <w:rPr>
          <w:rFonts w:ascii="Arial" w:hAnsi="Arial" w:cs="Arial"/>
          <w:sz w:val="20"/>
          <w:szCs w:val="20"/>
        </w:rPr>
        <w:t xml:space="preserve"> Trưởng khoa Vật lý, Giám đố</w:t>
      </w:r>
      <w:r w:rsidR="00116130">
        <w:rPr>
          <w:rFonts w:ascii="Arial" w:hAnsi="Arial" w:cs="Arial"/>
          <w:sz w:val="20"/>
          <w:szCs w:val="20"/>
        </w:rPr>
        <w:t>c Trung tâm Vật lý lý thyết và V</w:t>
      </w:r>
      <w:r w:rsidR="008D1F83">
        <w:rPr>
          <w:rFonts w:ascii="Arial" w:hAnsi="Arial" w:cs="Arial"/>
          <w:sz w:val="20"/>
          <w:szCs w:val="20"/>
        </w:rPr>
        <w:t>ật lý tính toán, Trường Đại học Sư phạm, Đại học Huế</w:t>
      </w:r>
    </w:p>
    <w:p w:rsidR="00C80DBB" w:rsidRPr="00116130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4. </w:t>
      </w:r>
      <w:r w:rsidR="008D1F83">
        <w:rPr>
          <w:rFonts w:ascii="Arial" w:hAnsi="Arial" w:cs="Arial"/>
          <w:sz w:val="20"/>
          <w:szCs w:val="20"/>
          <w:lang w:val="vi-VN"/>
        </w:rPr>
        <w:t>Năm được bổ nhiệm Phó giáo sư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116130">
        <w:rPr>
          <w:rFonts w:ascii="Arial" w:hAnsi="Arial" w:cs="Arial"/>
          <w:sz w:val="20"/>
          <w:szCs w:val="20"/>
        </w:rPr>
        <w:t xml:space="preserve"> 2011</w:t>
      </w:r>
    </w:p>
    <w:p w:rsidR="00C80DBB" w:rsidRPr="008D1F83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Ngành: </w:t>
      </w:r>
      <w:r w:rsidRPr="0082783B">
        <w:rPr>
          <w:rFonts w:ascii="Arial" w:hAnsi="Arial" w:cs="Arial"/>
          <w:i/>
          <w:iCs/>
          <w:sz w:val="20"/>
          <w:szCs w:val="20"/>
        </w:rPr>
        <w:t>     </w:t>
      </w:r>
      <w:r w:rsidR="008D1F83" w:rsidRPr="003D5C93">
        <w:rPr>
          <w:rFonts w:ascii="Arial" w:hAnsi="Arial" w:cs="Arial"/>
          <w:iCs/>
          <w:sz w:val="20"/>
          <w:szCs w:val="20"/>
        </w:rPr>
        <w:t>Vật lý</w:t>
      </w:r>
      <w:r w:rsidRPr="0082783B">
        <w:rPr>
          <w:rFonts w:ascii="Arial" w:hAnsi="Arial" w:cs="Arial"/>
          <w:i/>
          <w:iCs/>
          <w:sz w:val="20"/>
          <w:szCs w:val="20"/>
        </w:rPr>
        <w:t>       </w:t>
      </w:r>
      <w:r w:rsidR="008D1F83">
        <w:rPr>
          <w:rFonts w:ascii="Arial" w:hAnsi="Arial" w:cs="Arial"/>
          <w:i/>
          <w:iCs/>
          <w:sz w:val="20"/>
          <w:szCs w:val="20"/>
        </w:rPr>
        <w:t>  </w:t>
      </w:r>
      <w:r w:rsidR="008D1F83" w:rsidRPr="003D5C93">
        <w:rPr>
          <w:rFonts w:ascii="Arial" w:hAnsi="Arial" w:cs="Arial"/>
          <w:i/>
          <w:iCs/>
          <w:sz w:val="20"/>
          <w:szCs w:val="20"/>
          <w:lang w:val="vi-VN"/>
        </w:rPr>
        <w:t>                </w:t>
      </w:r>
      <w:r w:rsidRPr="003D5C93">
        <w:rPr>
          <w:rFonts w:ascii="Arial" w:hAnsi="Arial" w:cs="Arial"/>
          <w:i/>
          <w:iCs/>
          <w:sz w:val="20"/>
          <w:szCs w:val="20"/>
          <w:lang w:val="vi-VN"/>
        </w:rPr>
        <w:t>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Chuyên ngành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8D1F83">
        <w:rPr>
          <w:rFonts w:ascii="Arial" w:hAnsi="Arial" w:cs="Arial"/>
          <w:sz w:val="20"/>
          <w:szCs w:val="20"/>
        </w:rPr>
        <w:t xml:space="preserve"> Vật lý lý thuyết và Vật lý toán</w:t>
      </w:r>
    </w:p>
    <w:p w:rsidR="00C80DBB" w:rsidRPr="002F4DC0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5. Danh hiệu trong nước và quốc tế:</w:t>
      </w:r>
      <w:r w:rsidR="002F4DC0">
        <w:rPr>
          <w:rFonts w:ascii="Arial" w:hAnsi="Arial" w:cs="Arial"/>
          <w:sz w:val="20"/>
          <w:szCs w:val="20"/>
        </w:rPr>
        <w:t xml:space="preserve"> 0</w:t>
      </w:r>
    </w:p>
    <w:p w:rsidR="00C80DBB" w:rsidRPr="003B4B42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6. Số công trình khoa học đã công bố </w:t>
      </w:r>
      <w:r w:rsidRPr="0082783B">
        <w:rPr>
          <w:rFonts w:ascii="Arial" w:hAnsi="Arial" w:cs="Arial"/>
          <w:sz w:val="20"/>
          <w:szCs w:val="20"/>
        </w:rPr>
        <w:t>tr</w:t>
      </w:r>
      <w:r w:rsidRPr="0082783B">
        <w:rPr>
          <w:rFonts w:ascii="Arial" w:hAnsi="Arial" w:cs="Arial"/>
          <w:sz w:val="20"/>
          <w:szCs w:val="20"/>
          <w:lang w:val="vi-VN"/>
        </w:rPr>
        <w:t>ên các tạp chí khoa học:</w:t>
      </w:r>
      <w:r w:rsidR="007304F0">
        <w:rPr>
          <w:rFonts w:ascii="Arial" w:hAnsi="Arial" w:cs="Arial"/>
          <w:sz w:val="20"/>
          <w:szCs w:val="20"/>
        </w:rPr>
        <w:t xml:space="preserve"> 12</w:t>
      </w:r>
    </w:p>
    <w:p w:rsidR="00C80DBB" w:rsidRPr="009233A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  <w:r w:rsidR="009233AF">
        <w:rPr>
          <w:rFonts w:ascii="Arial" w:hAnsi="Arial" w:cs="Arial"/>
          <w:i/>
          <w:iCs/>
          <w:sz w:val="20"/>
          <w:szCs w:val="20"/>
        </w:rPr>
        <w:t xml:space="preserve"> 12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- ISI hoặc/và Scopus: </w:t>
      </w:r>
      <w:r w:rsidRPr="0082783B">
        <w:rPr>
          <w:rFonts w:ascii="Arial" w:hAnsi="Arial" w:cs="Arial"/>
          <w:i/>
          <w:iCs/>
          <w:sz w:val="20"/>
          <w:szCs w:val="20"/>
        </w:rPr>
        <w:t>   </w:t>
      </w:r>
      <w:r w:rsidR="00D116D4">
        <w:rPr>
          <w:rFonts w:ascii="Arial" w:hAnsi="Arial" w:cs="Arial"/>
          <w:i/>
          <w:iCs/>
          <w:sz w:val="20"/>
          <w:szCs w:val="20"/>
        </w:rPr>
        <w:t>12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="00C83380">
        <w:rPr>
          <w:rFonts w:ascii="Arial" w:hAnsi="Arial" w:cs="Arial"/>
          <w:i/>
          <w:iCs/>
          <w:sz w:val="20"/>
          <w:szCs w:val="20"/>
        </w:rPr>
        <w:t xml:space="preserve">  4</w:t>
      </w:r>
      <w:r w:rsidR="00D777D9">
        <w:rPr>
          <w:rFonts w:ascii="Arial" w:hAnsi="Arial" w:cs="Arial"/>
          <w:i/>
          <w:iCs/>
          <w:sz w:val="20"/>
          <w:szCs w:val="20"/>
        </w:rPr>
        <w:t>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Tạp ch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í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nước ngoài khác: </w:t>
      </w:r>
      <w:r w:rsidR="00D116D4">
        <w:rPr>
          <w:rFonts w:ascii="Arial" w:hAnsi="Arial" w:cs="Arial"/>
          <w:i/>
          <w:iCs/>
          <w:sz w:val="20"/>
          <w:szCs w:val="20"/>
        </w:rPr>
        <w:t>0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(5 năm gần đây:</w:t>
      </w:r>
      <w:r w:rsidRPr="0082783B">
        <w:rPr>
          <w:rFonts w:ascii="Arial" w:hAnsi="Arial" w:cs="Arial"/>
          <w:i/>
          <w:iCs/>
          <w:sz w:val="20"/>
          <w:szCs w:val="20"/>
        </w:rPr>
        <w:t>     </w:t>
      </w:r>
      <w:r w:rsidR="00D777D9">
        <w:rPr>
          <w:rFonts w:ascii="Arial" w:hAnsi="Arial" w:cs="Arial"/>
          <w:i/>
          <w:iCs/>
          <w:sz w:val="20"/>
          <w:szCs w:val="20"/>
        </w:rPr>
        <w:t>0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    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 )</w:t>
      </w:r>
    </w:p>
    <w:p w:rsidR="00C80DBB" w:rsidRPr="009233AF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7</w:t>
      </w:r>
      <w:r w:rsidRPr="0082783B">
        <w:rPr>
          <w:rFonts w:ascii="Arial" w:hAnsi="Arial" w:cs="Arial"/>
          <w:sz w:val="20"/>
          <w:szCs w:val="20"/>
          <w:lang w:val="vi-VN"/>
        </w:rPr>
        <w:t>. Số sáng chế, giải pháp hữu ích:</w:t>
      </w:r>
      <w:r w:rsidR="009233AF">
        <w:rPr>
          <w:rFonts w:ascii="Arial" w:hAnsi="Arial" w:cs="Arial"/>
          <w:sz w:val="20"/>
          <w:szCs w:val="20"/>
        </w:rPr>
        <w:t xml:space="preserve"> 0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Trong đó, quốc tế: </w:t>
      </w:r>
      <w:r w:rsidR="00FE150B">
        <w:rPr>
          <w:rFonts w:ascii="Arial" w:hAnsi="Arial" w:cs="Arial"/>
          <w:i/>
          <w:iCs/>
          <w:sz w:val="20"/>
          <w:szCs w:val="20"/>
        </w:rPr>
        <w:t> 0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(5 năm gần đây:</w:t>
      </w:r>
      <w:r w:rsidR="00D777D9">
        <w:rPr>
          <w:rFonts w:ascii="Arial" w:hAnsi="Arial" w:cs="Arial"/>
          <w:i/>
          <w:iCs/>
          <w:sz w:val="20"/>
          <w:szCs w:val="20"/>
        </w:rPr>
        <w:t xml:space="preserve">  0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 </w:t>
      </w:r>
      <w:r w:rsidR="00D777D9">
        <w:rPr>
          <w:rFonts w:ascii="Arial" w:hAnsi="Arial" w:cs="Arial"/>
          <w:i/>
          <w:iCs/>
          <w:sz w:val="20"/>
          <w:szCs w:val="20"/>
        </w:rPr>
        <w:t>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C80DBB" w:rsidRPr="00C83380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8. Số sách chuyên khảo và giáo trình đã xuất bản:</w:t>
      </w:r>
      <w:r w:rsidR="00C83380">
        <w:rPr>
          <w:rFonts w:ascii="Arial" w:hAnsi="Arial" w:cs="Arial"/>
          <w:sz w:val="20"/>
          <w:szCs w:val="20"/>
        </w:rPr>
        <w:t xml:space="preserve">  1</w:t>
      </w:r>
    </w:p>
    <w:p w:rsidR="00C80DBB" w:rsidRPr="0082783B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C80DBB" w:rsidRPr="00D777D9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- 5 năm gần đây:</w:t>
      </w:r>
      <w:r w:rsidR="00D777D9">
        <w:rPr>
          <w:rFonts w:ascii="Arial" w:hAnsi="Arial" w:cs="Arial"/>
          <w:i/>
          <w:iCs/>
          <w:sz w:val="20"/>
          <w:szCs w:val="20"/>
        </w:rPr>
        <w:t xml:space="preserve"> 1</w:t>
      </w:r>
    </w:p>
    <w:p w:rsidR="00C80DBB" w:rsidRPr="003D1DE7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Do Nhà xuất bản nước ngoài, Nhà xuất bản c</w:t>
      </w:r>
      <w:r w:rsidRPr="0082783B">
        <w:rPr>
          <w:rFonts w:ascii="Arial" w:hAnsi="Arial" w:cs="Arial"/>
          <w:i/>
          <w:iCs/>
          <w:sz w:val="20"/>
          <w:szCs w:val="20"/>
        </w:rPr>
        <w:t>ấ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p Quốc gia, Bộ và tương đương xuất bản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3D1DE7">
        <w:rPr>
          <w:rFonts w:ascii="Arial" w:hAnsi="Arial" w:cs="Arial"/>
          <w:sz w:val="20"/>
          <w:szCs w:val="20"/>
        </w:rPr>
        <w:t xml:space="preserve"> 0</w:t>
      </w:r>
    </w:p>
    <w:p w:rsidR="00C80DBB" w:rsidRPr="00D345E5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9. Tổng số trích dẫn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sz w:val="20"/>
          <w:szCs w:val="20"/>
        </w:rPr>
        <w:t>  </w:t>
      </w:r>
      <w:r w:rsidR="00FD54A3">
        <w:rPr>
          <w:rFonts w:ascii="Arial" w:hAnsi="Arial" w:cs="Arial"/>
          <w:sz w:val="20"/>
          <w:szCs w:val="20"/>
        </w:rPr>
        <w:t>96</w:t>
      </w:r>
      <w:r w:rsidRPr="0082783B">
        <w:rPr>
          <w:rFonts w:ascii="Arial" w:hAnsi="Arial" w:cs="Arial"/>
          <w:sz w:val="20"/>
          <w:szCs w:val="20"/>
        </w:rPr>
        <w:t>                                      </w:t>
      </w:r>
      <w:r w:rsidRPr="0082783B">
        <w:rPr>
          <w:rFonts w:ascii="Arial" w:hAnsi="Arial" w:cs="Arial"/>
          <w:sz w:val="20"/>
          <w:szCs w:val="20"/>
          <w:lang w:val="vi-VN"/>
        </w:rPr>
        <w:t>Chỉ số h</w:t>
      </w:r>
      <w:r w:rsidRPr="0082783B">
        <w:rPr>
          <w:rFonts w:ascii="Arial" w:hAnsi="Arial" w:cs="Arial"/>
          <w:i/>
          <w:iCs/>
          <w:sz w:val="20"/>
          <w:szCs w:val="20"/>
          <w:vertAlign w:val="subscript"/>
          <w:lang w:val="vi-VN"/>
        </w:rPr>
        <w:t>index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="00D777D9">
        <w:rPr>
          <w:rFonts w:ascii="Arial" w:hAnsi="Arial" w:cs="Arial"/>
          <w:i/>
          <w:iCs/>
          <w:sz w:val="20"/>
          <w:szCs w:val="20"/>
        </w:rPr>
        <w:t xml:space="preserve"> </w:t>
      </w:r>
      <w:r w:rsidR="00D777D9" w:rsidRPr="00D345E5">
        <w:rPr>
          <w:rFonts w:ascii="Arial" w:hAnsi="Arial" w:cs="Arial"/>
          <w:iCs/>
          <w:sz w:val="20"/>
          <w:szCs w:val="20"/>
        </w:rPr>
        <w:t>6</w:t>
      </w:r>
    </w:p>
    <w:p w:rsidR="00C80DBB" w:rsidRPr="00D777D9" w:rsidRDefault="00C80DBB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10. Giải thưởng KH&amp;CN quốc tế, quốc gia hoặc tương đương:</w:t>
      </w:r>
      <w:r w:rsidR="00D777D9">
        <w:rPr>
          <w:rFonts w:ascii="Arial" w:hAnsi="Arial" w:cs="Arial"/>
          <w:sz w:val="20"/>
          <w:szCs w:val="20"/>
        </w:rPr>
        <w:t xml:space="preserve"> 0</w:t>
      </w:r>
    </w:p>
    <w:p w:rsidR="00C80DBB" w:rsidRDefault="00C80DBB" w:rsidP="00C80DBB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11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. Bài báo khoa học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10 bài báo tiêu biểu trong cả quá trình, kèm theo chỉ số trích dẫn của bài b</w:t>
      </w:r>
      <w:r w:rsidRPr="0082783B">
        <w:rPr>
          <w:rFonts w:ascii="Arial" w:hAnsi="Arial" w:cs="Arial"/>
          <w:i/>
          <w:iCs/>
          <w:sz w:val="20"/>
          <w:szCs w:val="20"/>
        </w:rPr>
        <w:t>á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o và chỉ số ảnh hưởng của tạp chí, nếu có):</w:t>
      </w:r>
    </w:p>
    <w:p w:rsidR="00001B42" w:rsidRPr="00C83380" w:rsidRDefault="002F4DC0" w:rsidP="00001B42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83380">
        <w:rPr>
          <w:rFonts w:ascii="Arial" w:hAnsi="Arial" w:cs="Arial"/>
          <w:sz w:val="20"/>
          <w:szCs w:val="20"/>
        </w:rPr>
        <w:t xml:space="preserve">1. </w:t>
      </w:r>
      <w:r w:rsidR="00001B42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Truong Minh Duc, Jaewoo Noh, Opts. Comm. 281, (2008) 2842</w:t>
      </w:r>
      <w:r w:rsidR="00001B42" w:rsidRPr="00C83380">
        <w:rPr>
          <w:rFonts w:ascii="Arial" w:hAnsi="Arial" w:cs="Arial"/>
          <w:sz w:val="20"/>
          <w:szCs w:val="20"/>
        </w:rPr>
        <w:t xml:space="preserve">, </w:t>
      </w:r>
      <w:r w:rsidR="00001B42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“Higher-order properties of photon-added coherent states”. </w:t>
      </w:r>
      <w:r w:rsidR="00001B42" w:rsidRPr="004A0ADD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="00001B42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33</w:t>
      </w:r>
      <w:r w:rsidR="00BE2A1B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BE2A1B" w:rsidRPr="00C83380" w:rsidRDefault="00BE2A1B" w:rsidP="00BE2A1B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 Nguyen Ba An, Truong Minh Duc, J. Opt. B: Quantum and Semiclass. Opt. 4, (2002) 80, “Trio coherent states”. </w:t>
      </w:r>
      <w:r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13.</w:t>
      </w:r>
    </w:p>
    <w:p w:rsidR="00995CFF" w:rsidRPr="00C83380" w:rsidRDefault="00995CFF" w:rsidP="00995CFF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Nguyen Ba An, Truong Minh Duc, J. Opt. B: Quantum and Semiclass. Opt. 4, (2002) 289, “Even and odd trio coherent states:</w:t>
      </w:r>
      <w:r w:rsidRPr="00C8338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antibunching and violation of</w:t>
      </w:r>
      <w:r w:rsidRPr="00C8338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Cauchy–Schwarz inequalities”. </w:t>
      </w:r>
      <w:r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12.</w:t>
      </w:r>
    </w:p>
    <w:p w:rsidR="00807B62" w:rsidRPr="00C83380" w:rsidRDefault="00807B62" w:rsidP="00807B62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Nguyen Ba An, Truong Minh Duc, Phys. Rev. A 66, (2002) 065401, “Generation of three-mode nonclassical vibrational states of ions”. </w:t>
      </w:r>
      <w:r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10.</w:t>
      </w:r>
    </w:p>
    <w:p w:rsidR="00152673" w:rsidRPr="00C83380" w:rsidRDefault="009E6316" w:rsidP="00152673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</w:t>
      </w:r>
      <w:r w:rsidR="00152673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Nguyen Ba An, Truong Minh Duc, Int. J. Mod. Phys. B 16, (2002) 519, “Flower-like squeezing in the motion of a laser-driven trapped ion”. </w:t>
      </w:r>
      <w:r w:rsidR="00152673"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="00152673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10.</w:t>
      </w:r>
    </w:p>
    <w:p w:rsidR="006E4CC6" w:rsidRPr="00C83380" w:rsidRDefault="009E6316" w:rsidP="006E4CC6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</w:t>
      </w:r>
      <w:r w:rsidR="006E4CC6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Nguyen Ba An, Truong Minh Duc, J. Phys. A: Math. Gen. 35, (2002) 4749, “Excited K-quantum nonlinear coherent states”. </w:t>
      </w:r>
      <w:r w:rsidR="006E4CC6"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="006E4CC6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</w:t>
      </w:r>
      <w:r w:rsidR="00590196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7</w:t>
      </w:r>
      <w:r w:rsidR="006E4CC6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152673" w:rsidRDefault="009E6316" w:rsidP="00C83380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7</w:t>
      </w:r>
      <w:r w:rsidR="004F36D0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Truong Minh Duc, Tran Quang Dat, Nguyen Ba An, Jaewan Kim, Phys. Rev. A 88, (2013) 022320, “Scheme for the generation of freely traveling optical trio coherent states”. </w:t>
      </w:r>
      <w:r w:rsidR="004F36D0"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="004F36D0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</w:t>
      </w:r>
      <w:r w:rsidR="00421286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</w:t>
      </w:r>
      <w:r w:rsidR="004F36D0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BC7865" w:rsidRPr="00BC7865" w:rsidRDefault="00BC7865" w:rsidP="00BC7865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8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Duc Minh Truong, Hoai Thi Xuan Nguyen, An Ba Nguyen, Int. J. Theor. Phys. 53, (2014) 899, “Sum Squeezing, Difference Squeezing, Higher-Order</w:t>
      </w:r>
      <w:r w:rsidRPr="00C8338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Antibunching and Entanglement of Two-Mode</w:t>
      </w:r>
      <w:r w:rsidRPr="00C8338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Photon-Added Displaced Squeezed States” </w:t>
      </w:r>
      <w:r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4</w:t>
      </w:r>
    </w:p>
    <w:p w:rsidR="002F4DC0" w:rsidRPr="00C83380" w:rsidRDefault="00BC7865" w:rsidP="00001B4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01B42" w:rsidRPr="00C83380">
        <w:rPr>
          <w:rFonts w:ascii="Arial" w:hAnsi="Arial" w:cs="Arial"/>
          <w:sz w:val="20"/>
          <w:szCs w:val="20"/>
        </w:rPr>
        <w:t xml:space="preserve">. </w:t>
      </w:r>
      <w:r w:rsidR="002F4DC0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Truong Minh Duc, Dang Huu Dinh, Tran Quang Dat, Int. J. Theor. Phys. 55 (2016) 3027, “Even and Odd Charge Coherent States: Higher-Order Nonclassical Properties and Generation Scheme” </w:t>
      </w:r>
      <w:r w:rsidR="002F4DC0"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="00915B71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</w:t>
      </w:r>
      <w:r w:rsidR="00421286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</w:t>
      </w:r>
    </w:p>
    <w:p w:rsidR="002F4DC0" w:rsidRPr="00C83380" w:rsidRDefault="00BC7865" w:rsidP="0042128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</w:t>
      </w:r>
      <w:r w:rsidR="002F4DC0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Nguyen Thi Xuan Hoai, Truong Minh Duc, Int. J. Mod. Phys. B 30, (2016) 1650032, “Nonclassical properties and teleportation in the two-mode photon-added displaced squeezed state” </w:t>
      </w:r>
      <w:r w:rsidR="002F4DC0" w:rsidRPr="00BC786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="00421286" w:rsidRPr="00C8338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2</w:t>
      </w:r>
    </w:p>
    <w:p w:rsidR="00C80DBB" w:rsidRDefault="00C80DBB" w:rsidP="00832ED3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12. Sách chuyên khảo và giáo trình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5 sách và/hoặc giáo trình tiêu biểu trong cả quá trình, kèm theo chỉ số trích dẫn, s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ố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lần tái bản, nếu có):</w:t>
      </w:r>
      <w:r w:rsidR="00AA278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7104" w:rsidRPr="004F7104" w:rsidRDefault="004F7104" w:rsidP="004F7104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4F7104">
        <w:rPr>
          <w:rFonts w:ascii="Arial" w:hAnsi="Arial" w:cs="Arial"/>
          <w:iCs/>
          <w:sz w:val="20"/>
          <w:szCs w:val="20"/>
        </w:rPr>
        <w:t>1. Giáo trình Vật lý chất rắn, Nhà xuất bản Đại học Huế, 2013.</w:t>
      </w:r>
    </w:p>
    <w:p w:rsidR="00A6384A" w:rsidRPr="00A6384A" w:rsidRDefault="00C80DBB" w:rsidP="004F7104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>13. Kết quả nghiên cứu khoa học tiêu biểu trong 5 năm gần đây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AA278C" w:rsidRPr="00AA278C" w:rsidRDefault="00AA278C" w:rsidP="00AA278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1. </w:t>
      </w:r>
      <w:r w:rsidR="009962A1"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Truong Minh Duc</w:t>
      </w: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Hoai Thi Xuan Nguyen, An Ba Nguyen, Int. J. Theor. Phys. 53, (2014) 899, “Sum Squeezing, Difference Squeezing, Higher-Order</w:t>
      </w:r>
      <w:r w:rsidRPr="00AA278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Antibunching and Entanglement of Two-Mode</w:t>
      </w:r>
      <w:r w:rsidRPr="00AA278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Photon-Added Displaced Squeezed States” </w:t>
      </w:r>
      <w:r w:rsidRPr="00AA278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4</w:t>
      </w:r>
    </w:p>
    <w:p w:rsidR="00AA278C" w:rsidRPr="00AA278C" w:rsidRDefault="00AA278C" w:rsidP="00AA278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A278C">
        <w:rPr>
          <w:rFonts w:ascii="Arial" w:hAnsi="Arial" w:cs="Arial"/>
          <w:sz w:val="20"/>
          <w:szCs w:val="20"/>
        </w:rPr>
        <w:t xml:space="preserve">2. </w:t>
      </w: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Truong Minh Duc, Dang Huu Dinh, Tran Quang Dat, Int. J. Theor. Phys. 55 (2016) 3027, “Even and Odd Charge Coherent States: Higher-Order Nonclassical Properties and Generation Scheme” </w:t>
      </w:r>
      <w:r w:rsidRPr="00AA278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2</w:t>
      </w:r>
    </w:p>
    <w:p w:rsidR="00AA278C" w:rsidRPr="00AA278C" w:rsidRDefault="00AA278C" w:rsidP="00AA278C">
      <w:pPr>
        <w:spacing w:after="120"/>
        <w:ind w:firstLine="72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 Nguyen Thi Xuan Hoai, Truong Minh Duc, Int. J. Mod. Phys. B 30, (2016) 1650032, “Nonclassical properties and teleportation in the two-mode photon-added displaced squeezed state” </w:t>
      </w:r>
      <w:r w:rsidRPr="00AA278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(SCI).</w:t>
      </w: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Chỉ số trích dẫn: 2.</w:t>
      </w:r>
    </w:p>
    <w:p w:rsidR="00995E1D" w:rsidRPr="00995E1D" w:rsidRDefault="00AA278C" w:rsidP="00A9623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</w:t>
      </w:r>
      <w:r w:rsidR="00995E1D"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Tran Quang</w:t>
      </w:r>
      <w:r w:rsidR="003F257A"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Dat, Truong Minh Duc, Ho Sy Chuong, </w:t>
      </w:r>
      <w:r w:rsidR="009C25D3" w:rsidRPr="00AA278C">
        <w:rPr>
          <w:rFonts w:ascii="Tahoma" w:hAnsi="Tahoma" w:cs="Tahoma"/>
          <w:color w:val="000000"/>
          <w:sz w:val="20"/>
          <w:szCs w:val="20"/>
        </w:rPr>
        <w:t>Journal of Physics: Conf. Series 1034 (2018) 012004, “</w:t>
      </w:r>
      <w:r w:rsidR="009C25D3"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Improvement quantum teleportation via the pair</w:t>
      </w:r>
      <w:r w:rsidR="009C25D3" w:rsidRPr="00AA278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C25D3" w:rsidRPr="00AA27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coherent states”. </w:t>
      </w:r>
      <w:r w:rsidR="009C25D3" w:rsidRPr="00AA278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(SCOUPUS).</w:t>
      </w:r>
    </w:p>
    <w:p w:rsidR="00C80DBB" w:rsidRDefault="00C80DBB" w:rsidP="0075610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783B">
        <w:rPr>
          <w:rFonts w:ascii="Arial" w:hAnsi="Arial" w:cs="Arial"/>
          <w:sz w:val="20"/>
          <w:szCs w:val="20"/>
          <w:lang w:val="vi-VN"/>
        </w:rPr>
        <w:t xml:space="preserve">14. Các hoạt động cộng đồng hiện nay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</w:p>
    <w:p w:rsidR="00A96232" w:rsidRPr="00675038" w:rsidRDefault="00A96232" w:rsidP="00C80DBB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675038">
        <w:rPr>
          <w:rFonts w:ascii="Arial" w:hAnsi="Arial" w:cs="Arial"/>
          <w:iCs/>
          <w:sz w:val="20"/>
          <w:szCs w:val="20"/>
        </w:rPr>
        <w:t>1.</w:t>
      </w:r>
      <w:r w:rsidR="00BC27DB">
        <w:rPr>
          <w:rFonts w:ascii="Arial" w:hAnsi="Arial" w:cs="Arial"/>
          <w:iCs/>
          <w:sz w:val="20"/>
          <w:szCs w:val="20"/>
        </w:rPr>
        <w:t xml:space="preserve"> Thành viên của Ban thường vụ H</w:t>
      </w:r>
      <w:r w:rsidR="009A2FDE" w:rsidRPr="00675038">
        <w:rPr>
          <w:rFonts w:ascii="Arial" w:hAnsi="Arial" w:cs="Arial"/>
          <w:iCs/>
          <w:sz w:val="20"/>
          <w:szCs w:val="20"/>
        </w:rPr>
        <w:t>ội Vật lý lý thuyết Việt Nam nhiệm kỳ 2018-2023.</w:t>
      </w:r>
    </w:p>
    <w:p w:rsidR="009A2FDE" w:rsidRPr="00675038" w:rsidRDefault="009A2FDE" w:rsidP="00C80DBB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75038">
        <w:rPr>
          <w:rFonts w:ascii="Arial" w:hAnsi="Arial" w:cs="Arial"/>
          <w:iCs/>
          <w:sz w:val="20"/>
          <w:szCs w:val="20"/>
        </w:rPr>
        <w:t xml:space="preserve">2. </w:t>
      </w:r>
      <w:r w:rsidR="00675038" w:rsidRPr="00675038">
        <w:rPr>
          <w:rFonts w:ascii="Arial" w:hAnsi="Arial" w:cs="Arial"/>
          <w:iCs/>
          <w:sz w:val="20"/>
          <w:szCs w:val="20"/>
        </w:rPr>
        <w:t xml:space="preserve">Thành viên </w:t>
      </w:r>
      <w:r w:rsidR="00D64F5B">
        <w:rPr>
          <w:rFonts w:ascii="Arial" w:hAnsi="Arial" w:cs="Arial"/>
          <w:iCs/>
          <w:sz w:val="20"/>
          <w:szCs w:val="20"/>
        </w:rPr>
        <w:t>của Ban biên tập T</w:t>
      </w:r>
      <w:r w:rsidR="00675038" w:rsidRPr="00675038">
        <w:rPr>
          <w:rFonts w:ascii="Arial" w:hAnsi="Arial" w:cs="Arial"/>
          <w:iCs/>
          <w:sz w:val="20"/>
          <w:szCs w:val="20"/>
        </w:rPr>
        <w:t>ạp chí Khoa học và Giáo dục Trường Đại học Sư phạm Huế.</w:t>
      </w:r>
    </w:p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82783B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82783B" w:rsidRDefault="00C80DBB" w:rsidP="00B358F7">
            <w:pPr>
              <w:rPr>
                <w:rFonts w:ascii="Arial" w:hAnsi="Arial" w:cs="Arial"/>
                <w:sz w:val="20"/>
                <w:szCs w:val="20"/>
              </w:rPr>
            </w:pPr>
            <w:r w:rsidRPr="008278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82783B" w:rsidRDefault="00C80DBB" w:rsidP="00B35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 viên</w:t>
            </w:r>
            <w:r w:rsidRPr="008278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2783B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</w:tbl>
    <w:p w:rsidR="00C80DBB" w:rsidRPr="0082783B" w:rsidRDefault="00C80DBB" w:rsidP="00C80DBB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p w:rsidR="005E2FB1" w:rsidRDefault="005E2FB1"/>
    <w:p w:rsidR="004F7104" w:rsidRDefault="004F7104"/>
    <w:p w:rsidR="004F5A6D" w:rsidRDefault="004F5A6D"/>
    <w:p w:rsidR="004F7104" w:rsidRDefault="004F7104"/>
    <w:p w:rsidR="004F7104" w:rsidRDefault="004F7104">
      <w:r>
        <w:t xml:space="preserve">                                                                                                     Trương Minh Đức </w:t>
      </w:r>
    </w:p>
    <w:sectPr w:rsidR="004F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01B42"/>
    <w:rsid w:val="000607E3"/>
    <w:rsid w:val="00116130"/>
    <w:rsid w:val="00152673"/>
    <w:rsid w:val="00166D57"/>
    <w:rsid w:val="001828CF"/>
    <w:rsid w:val="002E4E9A"/>
    <w:rsid w:val="002F4DC0"/>
    <w:rsid w:val="003B4B42"/>
    <w:rsid w:val="003D1DE7"/>
    <w:rsid w:val="003D5C93"/>
    <w:rsid w:val="003F257A"/>
    <w:rsid w:val="00421286"/>
    <w:rsid w:val="004A0ADD"/>
    <w:rsid w:val="004F36D0"/>
    <w:rsid w:val="004F5A6D"/>
    <w:rsid w:val="004F7104"/>
    <w:rsid w:val="00582A7D"/>
    <w:rsid w:val="00590196"/>
    <w:rsid w:val="005B6784"/>
    <w:rsid w:val="005E2FB1"/>
    <w:rsid w:val="00675038"/>
    <w:rsid w:val="006B4369"/>
    <w:rsid w:val="006E4CC6"/>
    <w:rsid w:val="007304F0"/>
    <w:rsid w:val="0075610F"/>
    <w:rsid w:val="00807B62"/>
    <w:rsid w:val="00832ED3"/>
    <w:rsid w:val="008846BA"/>
    <w:rsid w:val="008A7231"/>
    <w:rsid w:val="008D1F83"/>
    <w:rsid w:val="00915B71"/>
    <w:rsid w:val="009233AF"/>
    <w:rsid w:val="00981C83"/>
    <w:rsid w:val="00995CFF"/>
    <w:rsid w:val="00995E1D"/>
    <w:rsid w:val="009962A1"/>
    <w:rsid w:val="009A2FDE"/>
    <w:rsid w:val="009C25D3"/>
    <w:rsid w:val="009E6316"/>
    <w:rsid w:val="009F1DAA"/>
    <w:rsid w:val="00A6384A"/>
    <w:rsid w:val="00A878C4"/>
    <w:rsid w:val="00A92DDC"/>
    <w:rsid w:val="00A96232"/>
    <w:rsid w:val="00AA278C"/>
    <w:rsid w:val="00BC27DB"/>
    <w:rsid w:val="00BC7865"/>
    <w:rsid w:val="00BE2A1B"/>
    <w:rsid w:val="00C80DBB"/>
    <w:rsid w:val="00C83380"/>
    <w:rsid w:val="00D116D4"/>
    <w:rsid w:val="00D345E5"/>
    <w:rsid w:val="00D64F5B"/>
    <w:rsid w:val="00D777D9"/>
    <w:rsid w:val="00F6608D"/>
    <w:rsid w:val="00FD54A3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8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2019-04-23T02:17:00Z</cp:lastPrinted>
  <dcterms:created xsi:type="dcterms:W3CDTF">2019-05-09T08:05:00Z</dcterms:created>
  <dcterms:modified xsi:type="dcterms:W3CDTF">2019-05-09T08:05:00Z</dcterms:modified>
</cp:coreProperties>
</file>