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3528"/>
        <w:gridCol w:w="5328"/>
      </w:tblGrid>
      <w:tr w:rsidR="00150DEE" w:rsidTr="00A86C29">
        <w:trPr>
          <w:jc w:val="center"/>
        </w:trPr>
        <w:tc>
          <w:tcPr>
            <w:tcW w:w="3528" w:type="dxa"/>
            <w:tcMar>
              <w:top w:w="0" w:type="dxa"/>
              <w:left w:w="108" w:type="dxa"/>
              <w:bottom w:w="0" w:type="dxa"/>
              <w:right w:w="108" w:type="dxa"/>
            </w:tcMar>
            <w:hideMark/>
          </w:tcPr>
          <w:p w:rsidR="00150DEE" w:rsidRDefault="00150DEE" w:rsidP="00A86C29">
            <w:pPr>
              <w:pStyle w:val="NormalWeb"/>
              <w:spacing w:after="120" w:afterAutospacing="0"/>
              <w:jc w:val="center"/>
            </w:pPr>
            <w:r>
              <w:rPr>
                <w:b/>
                <w:bCs/>
              </w:rPr>
              <w:t>BỘ GIÁO DỤC VÀ ĐÀO TẠO</w:t>
            </w:r>
            <w:r>
              <w:rPr>
                <w:b/>
                <w:bCs/>
              </w:rPr>
              <w:br/>
              <w:t>--------</w:t>
            </w:r>
          </w:p>
        </w:tc>
        <w:tc>
          <w:tcPr>
            <w:tcW w:w="5328" w:type="dxa"/>
            <w:tcMar>
              <w:top w:w="0" w:type="dxa"/>
              <w:left w:w="108" w:type="dxa"/>
              <w:bottom w:w="0" w:type="dxa"/>
              <w:right w:w="108" w:type="dxa"/>
            </w:tcMar>
            <w:hideMark/>
          </w:tcPr>
          <w:p w:rsidR="00150DEE" w:rsidRDefault="00150DEE" w:rsidP="00A86C29">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150DEE" w:rsidTr="00A86C29">
        <w:trPr>
          <w:jc w:val="center"/>
        </w:trPr>
        <w:tc>
          <w:tcPr>
            <w:tcW w:w="3528" w:type="dxa"/>
            <w:tcMar>
              <w:top w:w="0" w:type="dxa"/>
              <w:left w:w="108" w:type="dxa"/>
              <w:bottom w:w="0" w:type="dxa"/>
              <w:right w:w="108" w:type="dxa"/>
            </w:tcMar>
            <w:hideMark/>
          </w:tcPr>
          <w:p w:rsidR="00150DEE" w:rsidRDefault="00150DEE" w:rsidP="00A86C29">
            <w:pPr>
              <w:pStyle w:val="NormalWeb"/>
              <w:spacing w:after="120" w:afterAutospacing="0"/>
              <w:jc w:val="center"/>
            </w:pPr>
            <w:r>
              <w:t>Số: 31/2013/TT-BGDĐT</w:t>
            </w:r>
          </w:p>
        </w:tc>
        <w:tc>
          <w:tcPr>
            <w:tcW w:w="5328" w:type="dxa"/>
            <w:tcMar>
              <w:top w:w="0" w:type="dxa"/>
              <w:left w:w="108" w:type="dxa"/>
              <w:bottom w:w="0" w:type="dxa"/>
              <w:right w:w="108" w:type="dxa"/>
            </w:tcMar>
            <w:hideMark/>
          </w:tcPr>
          <w:p w:rsidR="00150DEE" w:rsidRDefault="00150DEE" w:rsidP="00A86C29">
            <w:pPr>
              <w:pStyle w:val="NormalWeb"/>
              <w:spacing w:after="120" w:afterAutospacing="0"/>
              <w:jc w:val="center"/>
            </w:pPr>
            <w:r>
              <w:rPr>
                <w:i/>
                <w:iCs/>
              </w:rPr>
              <w:t>Hà Nội, ngày 01 tháng 8 năm 2013</w:t>
            </w:r>
          </w:p>
        </w:tc>
      </w:tr>
    </w:tbl>
    <w:p w:rsidR="00150DEE" w:rsidRDefault="00150DEE" w:rsidP="00150DEE">
      <w:pPr>
        <w:pStyle w:val="NormalWeb"/>
        <w:spacing w:after="120" w:afterAutospacing="0"/>
        <w:jc w:val="center"/>
      </w:pPr>
      <w:r>
        <w:rPr>
          <w:b/>
          <w:bCs/>
        </w:rPr>
        <w:t>THÔNG TƯ</w:t>
      </w:r>
    </w:p>
    <w:p w:rsidR="00150DEE" w:rsidRDefault="00150DEE" w:rsidP="00AA2B7A">
      <w:pPr>
        <w:pStyle w:val="NormalWeb"/>
        <w:tabs>
          <w:tab w:val="left" w:pos="10773"/>
        </w:tabs>
        <w:spacing w:after="120" w:afterAutospacing="0"/>
        <w:jc w:val="center"/>
      </w:pPr>
      <w:r>
        <w:t>SỬA ĐỔI, BỔ SUNG KHOẢN 3 ĐIỀU 2 QUYẾT ĐỊNH SỐ 44/2007/QĐ-BGDĐT NGÀY 15 THÁNG 8 NĂM 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w:t>
      </w:r>
    </w:p>
    <w:p w:rsidR="00150DEE" w:rsidRDefault="00150DEE" w:rsidP="00150DEE">
      <w:pPr>
        <w:pStyle w:val="NormalWeb"/>
        <w:spacing w:after="120" w:afterAutospacing="0"/>
        <w:jc w:val="both"/>
      </w:pPr>
      <w:r>
        <w:rPr>
          <w:i/>
          <w:iCs/>
        </w:rPr>
        <w:t>Căn cứ Nghị định số 36/2012/NĐ-CP ngày 18 tháng 4 năm 2012 của Chính phủ quy định chức năng, nhiệm vụ, quyền hạn và cơ cấu tổ chức của Bộ, cơ quan ngang Bộ;</w:t>
      </w:r>
    </w:p>
    <w:p w:rsidR="00150DEE" w:rsidRDefault="00150DEE" w:rsidP="00150DEE">
      <w:pPr>
        <w:pStyle w:val="NormalWeb"/>
        <w:spacing w:after="120" w:afterAutospacing="0"/>
        <w:jc w:val="both"/>
      </w:pPr>
      <w:r>
        <w:rPr>
          <w:i/>
          <w:iCs/>
        </w:rPr>
        <w:t>Căn cứ Nghị định số 32/2008/NĐ-CP ngày 19 tháng 3 năm 2008 của Chính phủ quy định chức năng, nhiệm vụ, quyền hạn và cơ cấu tổ chức của Bộ Giáo dục và Đào tạo;</w:t>
      </w:r>
    </w:p>
    <w:p w:rsidR="00150DEE" w:rsidRDefault="00150DEE" w:rsidP="00150DEE">
      <w:pPr>
        <w:pStyle w:val="NormalWeb"/>
        <w:spacing w:after="120" w:afterAutospacing="0"/>
        <w:jc w:val="both"/>
      </w:pPr>
      <w:r>
        <w:rPr>
          <w:i/>
          <w:iCs/>
        </w:rPr>
        <w:t>Căn cứ Nghị định số 75/2006/NĐ-CP ngày 02 tháng 8 năm 2006 của Chính phủ quy định chi tiết và hướng dẫn thi hành một số điều của Luật Giáo dục; Nghị định số 31/2011/NĐ-CP ngày 11 tháng 5 năm 2011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số 31/2011/NĐ-CP ngày 11 tháng 5 năm 2011 sửa đổi, bổ sung một số điều của Nghị định số 75/2006/NĐ-CP ngày 02 tháng 8 năm 2006 của Chính phủ quy định chi tiết và hướng dẫn thi hành một số điều của Luật Giáo dục;</w:t>
      </w:r>
    </w:p>
    <w:p w:rsidR="00150DEE" w:rsidRDefault="00150DEE" w:rsidP="00150DEE">
      <w:pPr>
        <w:pStyle w:val="NormalWeb"/>
        <w:spacing w:after="120" w:afterAutospacing="0"/>
        <w:jc w:val="both"/>
      </w:pPr>
      <w:r>
        <w:rPr>
          <w:i/>
          <w:iCs/>
        </w:rPr>
        <w:t>Theo đề nghị của Vụ trưởng Vụ Kế hoạch - Tài chính và Vụ trưởng Vụ Công tác Học sinh, sinh viên;</w:t>
      </w:r>
    </w:p>
    <w:p w:rsidR="00150DEE" w:rsidRDefault="00150DEE" w:rsidP="00150DEE">
      <w:pPr>
        <w:pStyle w:val="NormalWeb"/>
        <w:spacing w:after="120" w:afterAutospacing="0"/>
        <w:jc w:val="both"/>
      </w:pPr>
      <w:r>
        <w:rPr>
          <w:i/>
          <w:iCs/>
        </w:rPr>
        <w:t>Bộ trưởng Bộ Giáo dục và Đào tạo ban hành Thông tư sửa đổi, bổ sung khoản 3 Điều 2 Quyết định số 44/2007/QĐ-BGDĐT ngày 15 tháng 8 năm 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w:t>
      </w:r>
    </w:p>
    <w:p w:rsidR="00150DEE" w:rsidRDefault="00150DEE" w:rsidP="00150DEE">
      <w:pPr>
        <w:pStyle w:val="NormalWeb"/>
        <w:spacing w:after="120" w:afterAutospacing="0"/>
        <w:jc w:val="both"/>
      </w:pPr>
      <w:r>
        <w:rPr>
          <w:b/>
          <w:bCs/>
        </w:rPr>
        <w:t>Điều 1.</w:t>
      </w:r>
      <w:r>
        <w:t xml:space="preserve"> Sửa đổi, bổ sung khoản 3 Điều 2 Quyết định số 44/2007/QĐ-BGDĐT ngày 15 tháng 8 năm 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 như sau:</w:t>
      </w:r>
    </w:p>
    <w:p w:rsidR="00150DEE" w:rsidRDefault="00150DEE" w:rsidP="00150DEE">
      <w:pPr>
        <w:pStyle w:val="NormalWeb"/>
        <w:spacing w:after="120" w:afterAutospacing="0"/>
        <w:jc w:val="both"/>
      </w:pPr>
      <w:r>
        <w:t>“3. Quỹ học bổng khuyến khích học tập được bố trí tối thiểu bằng 8% nguồn thu học phí hệ giáo dục chính quy đối với các trường công lập và tối thiểu bằng 2% nguồn thu học phí hệ giáo dục chính quy đối với các trường ngoài công lập. Đối với các trường sư phạm và các ngành nghề đào tạo không thu học phí thì quỹ học bổng được trích tối thiểu bằng 8% nguồn ngân sách nhà nước cấp bù học phí”.</w:t>
      </w:r>
    </w:p>
    <w:p w:rsidR="00150DEE" w:rsidRDefault="00150DEE" w:rsidP="00150DEE">
      <w:pPr>
        <w:pStyle w:val="NormalWeb"/>
        <w:spacing w:after="120" w:afterAutospacing="0"/>
        <w:jc w:val="both"/>
      </w:pPr>
      <w:r>
        <w:rPr>
          <w:b/>
          <w:bCs/>
        </w:rPr>
        <w:lastRenderedPageBreak/>
        <w:t>Điều 2.</w:t>
      </w:r>
      <w:r>
        <w:t xml:space="preserve"> Thông tư này có hiệu lực thi hành kể từ ngày 15 tháng 9 năm 2013.</w:t>
      </w:r>
    </w:p>
    <w:p w:rsidR="00150DEE" w:rsidRDefault="00150DEE" w:rsidP="00150DEE">
      <w:pPr>
        <w:pStyle w:val="NormalWeb"/>
        <w:spacing w:after="120" w:afterAutospacing="0"/>
        <w:jc w:val="both"/>
      </w:pPr>
      <w:r>
        <w:rPr>
          <w:b/>
          <w:bCs/>
        </w:rPr>
        <w:t>Điều 3.</w:t>
      </w:r>
      <w:r>
        <w:t xml:space="preserve"> Chánh Văn phòng, Vụ trưởng Vụ Kế hoạch - Tài chính, Vụ trưởng Vụ Công tác học sinh, sinh viên, Thủ trưởng các đơn vị có liên quan thuộc Bộ Giáo dục và Đào tạo, Chủ tịch Ủy ban nhân dân tỉnh, thành phố trực thuộc Trung ương, Giám đốc sở Giáo dục và Đào tạo, Giám đốc đại học, học viện, Hiệu trưởng các trường đại học, cao đẳng, trung cấp chuyên nghiệp, Hiệu trưởng các trường chuyên, trường năng khiếu nghệ thuật, thể dục thể thao chịu trách nhiệm thi hành Thông tư này./.</w:t>
      </w:r>
    </w:p>
    <w:p w:rsidR="00150DEE" w:rsidRDefault="00150DEE" w:rsidP="00150DEE">
      <w:pPr>
        <w:pStyle w:val="NormalWeb"/>
        <w:spacing w:after="120" w:afterAutospacing="0"/>
        <w:jc w:val="both"/>
      </w:pPr>
      <w:r>
        <w:t> </w:t>
      </w:r>
    </w:p>
    <w:tbl>
      <w:tblPr>
        <w:tblW w:w="0" w:type="auto"/>
        <w:tblCellMar>
          <w:left w:w="0" w:type="dxa"/>
          <w:right w:w="0" w:type="dxa"/>
        </w:tblCellMar>
        <w:tblLook w:val="04A0"/>
      </w:tblPr>
      <w:tblGrid>
        <w:gridCol w:w="4308"/>
        <w:gridCol w:w="4548"/>
      </w:tblGrid>
      <w:tr w:rsidR="00150DEE" w:rsidTr="00A86C29">
        <w:tc>
          <w:tcPr>
            <w:tcW w:w="4308" w:type="dxa"/>
            <w:tcMar>
              <w:top w:w="0" w:type="dxa"/>
              <w:left w:w="108" w:type="dxa"/>
              <w:bottom w:w="0" w:type="dxa"/>
              <w:right w:w="108" w:type="dxa"/>
            </w:tcMar>
            <w:hideMark/>
          </w:tcPr>
          <w:p w:rsidR="00150DEE" w:rsidRDefault="00150DEE" w:rsidP="00A86C29">
            <w:pPr>
              <w:pStyle w:val="NormalWeb"/>
              <w:spacing w:after="120" w:afterAutospacing="0"/>
            </w:pPr>
            <w:r>
              <w:rPr>
                <w:sz w:val="16"/>
                <w:szCs w:val="16"/>
              </w:rPr>
              <w:t> </w:t>
            </w:r>
          </w:p>
          <w:p w:rsidR="00150DEE" w:rsidRDefault="00150DEE" w:rsidP="00A86C29">
            <w:pPr>
              <w:pStyle w:val="NormalWeb"/>
              <w:spacing w:after="120" w:afterAutospacing="0"/>
            </w:pPr>
            <w:r>
              <w:rPr>
                <w:b/>
                <w:bCs/>
                <w:i/>
                <w:iCs/>
              </w:rPr>
              <w:t>Nơi nhận:</w:t>
            </w:r>
            <w:r>
              <w:rPr>
                <w:b/>
                <w:bCs/>
                <w:i/>
                <w:iCs/>
              </w:rPr>
              <w:br/>
            </w:r>
            <w:r>
              <w:rPr>
                <w:sz w:val="16"/>
                <w:szCs w:val="16"/>
              </w:rPr>
              <w:t>- Như Điều 3;</w:t>
            </w:r>
            <w:r>
              <w:rPr>
                <w:sz w:val="16"/>
                <w:szCs w:val="16"/>
              </w:rPr>
              <w:br/>
              <w:t>- Văn phòng Quốc hội;</w:t>
            </w:r>
            <w:r>
              <w:rPr>
                <w:sz w:val="16"/>
                <w:szCs w:val="16"/>
              </w:rPr>
              <w:br/>
              <w:t>- Văn phòng Chính phủ;</w:t>
            </w:r>
            <w:r>
              <w:rPr>
                <w:sz w:val="16"/>
                <w:szCs w:val="16"/>
              </w:rPr>
              <w:br/>
              <w:t>- UBVHGD-TNTN&amp;NĐ của Quốc hội;</w:t>
            </w:r>
            <w:r>
              <w:rPr>
                <w:sz w:val="16"/>
                <w:szCs w:val="16"/>
              </w:rPr>
              <w:br/>
              <w:t>- Hội đồng Quốc gia giáo dục;</w:t>
            </w:r>
            <w:r>
              <w:rPr>
                <w:sz w:val="16"/>
                <w:szCs w:val="16"/>
              </w:rPr>
              <w:br/>
              <w:t>- Ban Tuyên giáo TƯ;</w:t>
            </w:r>
            <w:r>
              <w:rPr>
                <w:sz w:val="16"/>
                <w:szCs w:val="16"/>
              </w:rPr>
              <w:br/>
              <w:t>- Bộ Tư pháp (Cục Ktr VBQPPL);</w:t>
            </w:r>
            <w:r>
              <w:rPr>
                <w:sz w:val="16"/>
                <w:szCs w:val="16"/>
              </w:rPr>
              <w:br/>
              <w:t>- HĐND, UBND các tỉnh, TP trực thuộc TW;</w:t>
            </w:r>
            <w:r>
              <w:rPr>
                <w:sz w:val="16"/>
                <w:szCs w:val="16"/>
              </w:rPr>
              <w:br/>
              <w:t>- Công báo;</w:t>
            </w:r>
            <w:r>
              <w:rPr>
                <w:sz w:val="16"/>
                <w:szCs w:val="16"/>
              </w:rPr>
              <w:br/>
              <w:t>- Website Chính phủ;</w:t>
            </w:r>
            <w:r>
              <w:rPr>
                <w:sz w:val="16"/>
                <w:szCs w:val="16"/>
              </w:rPr>
              <w:br/>
              <w:t>- Website Bộ GDĐT;</w:t>
            </w:r>
            <w:r>
              <w:rPr>
                <w:sz w:val="16"/>
                <w:szCs w:val="16"/>
              </w:rPr>
              <w:br/>
              <w:t>- Lưu VT, Vụ KHTC; Vụ PC.</w:t>
            </w:r>
          </w:p>
        </w:tc>
        <w:tc>
          <w:tcPr>
            <w:tcW w:w="4548" w:type="dxa"/>
            <w:tcMar>
              <w:top w:w="0" w:type="dxa"/>
              <w:left w:w="108" w:type="dxa"/>
              <w:bottom w:w="0" w:type="dxa"/>
              <w:right w:w="108" w:type="dxa"/>
            </w:tcMar>
            <w:hideMark/>
          </w:tcPr>
          <w:p w:rsidR="00150DEE" w:rsidRDefault="00150DEE" w:rsidP="00A86C29">
            <w:pPr>
              <w:pStyle w:val="NormalWeb"/>
              <w:spacing w:after="120" w:afterAutospacing="0"/>
              <w:jc w:val="center"/>
            </w:pPr>
            <w:r>
              <w:rPr>
                <w:b/>
                <w:bCs/>
              </w:rPr>
              <w:t>BỘ TRƯỞNG</w:t>
            </w:r>
            <w:r>
              <w:rPr>
                <w:b/>
                <w:bCs/>
              </w:rPr>
              <w:br/>
            </w:r>
            <w:r>
              <w:rPr>
                <w:b/>
                <w:bCs/>
              </w:rPr>
              <w:br/>
            </w:r>
            <w:r>
              <w:rPr>
                <w:b/>
                <w:bCs/>
              </w:rPr>
              <w:br/>
            </w:r>
            <w:r>
              <w:rPr>
                <w:b/>
                <w:bCs/>
              </w:rPr>
              <w:br/>
            </w:r>
            <w:r>
              <w:rPr>
                <w:b/>
                <w:bCs/>
              </w:rPr>
              <w:br/>
              <w:t>Phạm Vũ Luận</w:t>
            </w:r>
          </w:p>
        </w:tc>
      </w:tr>
    </w:tbl>
    <w:p w:rsidR="00150DEE" w:rsidRDefault="00150DEE" w:rsidP="00150DEE">
      <w:pPr>
        <w:pStyle w:val="NormalWeb"/>
        <w:spacing w:after="120" w:afterAutospacing="0"/>
        <w:jc w:val="both"/>
      </w:pPr>
      <w:r>
        <w:t> </w:t>
      </w:r>
    </w:p>
    <w:p w:rsidR="00150DEE" w:rsidRDefault="00150DEE" w:rsidP="00150DEE">
      <w:pPr>
        <w:pStyle w:val="NormalWeb"/>
        <w:spacing w:after="120" w:afterAutospacing="0"/>
        <w:jc w:val="both"/>
      </w:pPr>
      <w:r>
        <w:t> </w:t>
      </w:r>
    </w:p>
    <w:p w:rsidR="008F0B67" w:rsidRDefault="008F0B67"/>
    <w:sectPr w:rsidR="008F0B67" w:rsidSect="00283334">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50DEE"/>
    <w:rsid w:val="00150DEE"/>
    <w:rsid w:val="00174FE9"/>
    <w:rsid w:val="00205BA7"/>
    <w:rsid w:val="00257D08"/>
    <w:rsid w:val="00283334"/>
    <w:rsid w:val="002A580B"/>
    <w:rsid w:val="004F3E45"/>
    <w:rsid w:val="00553C41"/>
    <w:rsid w:val="0057644C"/>
    <w:rsid w:val="006617CC"/>
    <w:rsid w:val="0066588A"/>
    <w:rsid w:val="008F0B67"/>
    <w:rsid w:val="009E568E"/>
    <w:rsid w:val="00AA2B7A"/>
    <w:rsid w:val="00D7551A"/>
    <w:rsid w:val="00EC2F9F"/>
    <w:rsid w:val="00F55D2C"/>
    <w:rsid w:val="00F96CD1"/>
    <w:rsid w:val="00F97E5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2"/>
        <w:lang w:val="vi-VN" w:eastAsia="en-US" w:bidi="ar-SA"/>
      </w:rPr>
    </w:rPrDefault>
    <w:pPrDefault>
      <w:pPr>
        <w:spacing w:before="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EE"/>
    <w:pPr>
      <w:spacing w:before="0"/>
      <w:jc w:val="left"/>
    </w:pPr>
    <w:rPr>
      <w:rFonts w:eastAsiaTheme="minorEastAsia"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D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2013-10-24T01:14:00Z</dcterms:created>
  <dcterms:modified xsi:type="dcterms:W3CDTF">2013-10-24T01:16:00Z</dcterms:modified>
</cp:coreProperties>
</file>